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https://www.cnmc.es/expedientes/c052613</w:t>
      </w:r>
    </w:p>
    <w:p>
      <w:r>
        <w:t>Pages translated : 1</w:t>
      </w:r>
    </w:p>
    <w:p/>
    <w:p>
      <w:r>
        <w:rPr>
          <w:b/>
        </w:rPr>
        <w:t>[Pages 1–1]</w:t>
      </w:r>
    </w:p>
    <w:p>
      <w:r>
        <w:t xml:space="preserve">RESOLUTION (File C/0526/13 BANCA MARCH / BANCO INVERSIS)  </w:t>
        <w:br/>
        <w:t xml:space="preserve">COMPETITION CHAMBER OF THE COUNCIL  </w:t>
        <w:br/>
        <w:t xml:space="preserve">Mr. José María Marín Quemada, President  </w:t>
        <w:br/>
        <w:t xml:space="preserve">Ms. María Ortíz Aguilar, Member  </w:t>
        <w:br/>
        <w:t xml:space="preserve">Mr. Fernando Torremocha y Garcia-Sáenz, Member  </w:t>
        <w:br/>
        <w:t xml:space="preserve">Mr. Benigno Valdés Díaz, Member  </w:t>
        <w:br/>
        <w:t xml:space="preserve">Ms. Idoia Zenarruzabeitia Beldarraín, Member  </w:t>
        <w:br/>
        <w:t xml:space="preserve">In Madrid, on October 17, 2013  </w:t>
        <w:br/>
        <w:t xml:space="preserve">Having reviewed the file processed in accordance with Law 15/2007, of July 3, on the Defense of Competition, regarding the economic concentration operation consisting of the acquisition of exclusive control of BANCO INVERSIS, S.A., by BANCA MARCH, S.A., and in agreement with the report and proposal submitted by the Competition Directorate, the Council of the National Commission on Markets and Competition has resolved, pursuant to art. 57.2.a) of the aforementioned Law, to authorize the said concentration operation in the first phase.  </w:t>
        <w:br/>
        <w:t xml:space="preserve">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its notification.  </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