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https://www.cnmc.es/expedientes/c052813</w:t>
      </w:r>
    </w:p>
    <w:p>
      <w:r>
        <w:t>Pages translated : 2</w:t>
      </w:r>
    </w:p>
    <w:p/>
    <w:p>
      <w:r>
        <w:rPr>
          <w:b/>
        </w:rPr>
        <w:t>[Pages 1–2]</w:t>
      </w:r>
    </w:p>
    <w:p>
      <w:r>
        <w:t>RESOLUTION</w:t>
        <w:br/>
        <w:t>(File No. C/0528/13 ABERTIS/HISPASAT)</w:t>
        <w:br/>
        <w:t>COUNCIL</w:t>
        <w:br/>
        <w:t>Mr. José María Marín Quemada, President</w:t>
        <w:br/>
        <w:t>Ms. María Fernández Pérez, Vice President</w:t>
        <w:br/>
        <w:t>Mr. Eduardo García Matilla, Council Member</w:t>
        <w:br/>
        <w:t>Mr. Josep María Guinart Solá, Council Member</w:t>
        <w:br/>
        <w:t>Ms. Clotilde la Higuera González, Council Member</w:t>
        <w:br/>
        <w:t>Ms. María Ortiz Aguilar, Council Member</w:t>
        <w:br/>
        <w:t>Mr. Diego Rodríguez Rodríguez, Council Member</w:t>
        <w:br/>
        <w:t>Mr. Fernando Torremocha y García-Sáenz, Council Member</w:t>
        <w:br/>
        <w:t>Mr. Benigno Valdés Díaz, Council Member</w:t>
        <w:br/>
        <w:t>Ms. Idoia Zenarruzabeitia Beldarraín, Council Member</w:t>
        <w:br/>
        <w:t>Mr. Tomás Suárez-Inclán González, Secretary</w:t>
        <w:br/>
        <w:t>In Madrid, on October 30, 2013</w:t>
        <w:br/>
        <w:t>Having reviewed the file processed in accordance with Law 15/2007, of July 3, on the Defense of Competition, regarding the economic concentration operation consisting of the acquisition of exclusive control of Hispasat, S.A., by one of its current shareholders, Abertis Telecom, S.A.U., (file C/0528/13. ABERTIS/HISPASAT) and being in agreement with the report and proposal submitted by the Directorate of Competition, the Council of the National Commission of Markets and Competition, in accordance with the provisions of Article 12.2.c) of the Organic Statute of the CNMC approved by Royal Decree 657/2013, of August 30, has resolved, in application of Article 57.2.a) of the aforementioned Law, to authorize the said concentration operation in the first phase.</w:t>
        <w:br/>
        <w:t>C/ Barquillo 5 28004 Madrid</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