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https://www.cnmc.es/expedientes/c052913</w:t>
      </w:r>
    </w:p>
    <w:p>
      <w:r>
        <w:t>Pages translated : 1</w:t>
      </w:r>
    </w:p>
    <w:p/>
    <w:p>
      <w:r>
        <w:rPr>
          <w:b/>
        </w:rPr>
        <w:t>[Pages 1–1]</w:t>
      </w:r>
    </w:p>
    <w:p>
      <w:r>
        <w:t>RESOLUTION</w:t>
        <w:br/>
        <w:t>(File No. C/0529/13 RECORDATI/LABORATORIOS CASEN-FLEET)</w:t>
        <w:br/>
        <w:t>COUNCIL</w:t>
        <w:br/>
        <w:t>Mr. Joaquín García Bernaldo de Quirós, President</w:t>
        <w:br/>
        <w:t>Ms. Pilar Sánchez Núñez, Vice President</w:t>
        <w:br/>
        <w:t>Mr. Julio Costas Comesaña, Council Member</w:t>
        <w:br/>
        <w:t>Ms. Mª Jesús González López, Council Member</w:t>
        <w:br/>
        <w:t>Ms. Inmaculada Gutiérrez Carrizo, Council Member</w:t>
        <w:br/>
        <w:t>Mr. Luis Díez Martín, Council Member</w:t>
        <w:br/>
        <w:t>In Madrid, on October 2, 2013</w:t>
        <w:br/>
        <w:t>Having reviewed the file processed in accordance with Law 15/2007, of July 3, on the Defense of Competition, regarding the economic concentration operation consisting of the acquisition of exclusive control by RECORDATI ESPAÑA, S.L. (RECORDATI) of LABORATORIOS CASEN-FLEET ESPAÑA, S.L.U. (LABORATORIOS CASEN-FLEET) through the purchase of 100% of the shares from its current owner, E.C. de WITT AND COMPANY LIMITED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regarding the confidentiality clause on the sold business, which will be subject to the regulations on agreements between companies as long as its duration exceeds three years.</w:t>
        <w:br/>
        <w:t>This Resolution shall be communicated to the Directorate of Investigation of the National Competition Commission and notified to the interested party,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