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https://www.cnmc.es/expedientes/c053013</w:t>
      </w:r>
    </w:p>
    <w:p>
      <w:r>
        <w:t>Pages translated : 1</w:t>
      </w:r>
    </w:p>
    <w:p/>
    <w:p>
      <w:r>
        <w:rPr>
          <w:b/>
        </w:rPr>
        <w:t>[Pages 1–1]</w:t>
      </w:r>
    </w:p>
    <w:p>
      <w:r>
        <w:t xml:space="preserve">RESOLUTION  </w:t>
        <w:br/>
        <w:t xml:space="preserve">(File No. C/0530/13 SEGURCAIXA ADESLAS/CAJASOL SEGUROS GENERALES/CAN SALUD)  </w:t>
        <w:br/>
        <w:t>COMPETITION CHAMBER OF THE COUNCIL</w:t>
      </w:r>
    </w:p>
    <w:p>
      <w:r>
        <w:t xml:space="preserve">President  </w:t>
        <w:br/>
        <w:t>Mr. José María Marín Quemada, President</w:t>
      </w:r>
    </w:p>
    <w:p>
      <w:r>
        <w:t xml:space="preserve">Counselors  </w:t>
        <w:br/>
        <w:t xml:space="preserve">Ms. María Ortiz Aguilar  </w:t>
        <w:br/>
        <w:t xml:space="preserve">Mr. Fernando Torremocha y García-Sáenz  </w:t>
        <w:br/>
        <w:t xml:space="preserve">Mr. Benigno Valdés Díaz  </w:t>
        <w:br/>
        <w:t>Ms. Idoia Zenarrutzabeitia Beldarraín</w:t>
      </w:r>
    </w:p>
    <w:p>
      <w:r>
        <w:t xml:space="preserve">Secretary of the Chamber  </w:t>
        <w:br/>
        <w:t>Mr. Tomás Suárez-Inclán González, Secretary of the Council</w:t>
      </w:r>
    </w:p>
    <w:p>
      <w:r>
        <w:t>In Madrid, on November 21, 2013</w:t>
      </w:r>
    </w:p>
    <w:p>
      <w:r>
        <w:t>Having reviewed the file processed in accordance with Law 15/2007, of July 3, on the Defense of Competition, concerning the economic concentration operation consisting of the acquisition of exclusive control of CAJASOL SEGUROS GENERALES, SOCIEDAD DE SEGUROS Y REASEGUROS, S.A., and CAN SEGUROS DE SALUD, S.A., by SEGURCAIXA ADESLAS, S.A. DE SEGUROS Y REASEGUROS, in turn jointly controlled by CAIXABANK, S.A. and MUTUA MADRILEÑA AUTOMOVILISTA, SOCIEDAD DE SEGUROS A PRIMA FIJA (File No. C-0530/13 SEGURCAIXA ADESLAS/CAJASOL SEGUROS GENERALES/CAN SALUD) and being in agreement with the report and proposal submitted by the Directorate of Competition, the Council of the National Commission of Markets and Competition has resolved, in application of Article 57.2.a) of the aforementioned Law, to authorize the said concentration operation in the first phase.</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