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Spanish</w:t>
      </w:r>
    </w:p>
    <w:p>
      <w:r>
        <w:t>Source URL       : https://www.cnmc.es/expedientes/c053113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>RESOLUTION</w:t>
        <w:br/>
        <w:t>(File No. C-0531/13 KÖRBER/PAPERSYSTEMS Companies)</w:t>
        <w:br/>
        <w:t>COMPETITION CHAMBER OF THE COUNCIL</w:t>
        <w:br/>
        <w:t>Mr. José María Marín Quemada, President</w:t>
        <w:br/>
        <w:t>Ms. María Ortíz Aguilar, Member</w:t>
        <w:br/>
        <w:t>Mr. Fernando Torremocha y Garcia-Sáenz, Member</w:t>
        <w:br/>
        <w:t>Mr. Benigno Valdés Díaz, Member</w:t>
        <w:br/>
        <w:t>Ms. Idoia Zenarruzabeitia Beldarraín, Member</w:t>
        <w:br/>
        <w:t>Mr. Tomás Suárez-Inclán González, Secretary</w:t>
        <w:br/>
        <w:t>In Madrid, on November 7, 2013</w:t>
        <w:br/>
        <w:t>Having reviewed the file processed in accordance with Law 15/2007, of July 3, on</w:t>
        <w:br/>
        <w:t>the Defense of Competition, regarding the economic concentration operation</w:t>
        <w:br/>
        <w:t>consisting of the acquisition of exclusive control by Körber Beteiligungen</w:t>
        <w:br/>
        <w:t>GmbH of the companies E.C.H. Will GmbH, Kugler-Womako GmbH, Pemco Inc, and</w:t>
        <w:br/>
        <w:t>Körber PaperLink América Latina Ltda, and PT Körber Paperlink Far East, belonging</w:t>
        <w:br/>
        <w:t>to PAPERSYSTEMS, through the acquisition of all their shares, (File No. C-</w:t>
        <w:br/>
        <w:t>0531/13 KÖRBER/PAPERSYSTEMS) and in agreement with the report</w:t>
        <w:br/>
        <w:t>and proposal submitted by the Directorate of Competition, the Council of the National</w:t>
        <w:br/>
        <w:t>Commission of Markets and Competition has resolved, in application of Article 57.2.a)</w:t>
        <w:br/>
        <w:t>of the aforementioned Law, to authorize the said concentration operation in the first phase.</w:t>
        <w:br/>
        <w:t>This Resolution shall be communicated to the Directorate of Competition of the National</w:t>
        <w:br/>
        <w:t>Commission of Markets and Competition and notified to the interested party, informing</w:t>
        <w:br/>
        <w:t>them that it concludes the administrative procedure and that a contentious-administrative</w:t>
        <w:br/>
        <w:t>appeal may be filed against it before the National Court, within two months from the</w:t>
        <w:br/>
        <w:t>day following its notification.</w:t>
        <w:br/>
        <w:t>C/ Barquillo 5 28004 Madrid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