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https://www.cnmc.es/expedientes/c053213</w:t>
      </w:r>
    </w:p>
    <w:p>
      <w:r>
        <w:t>Pages translated : 1</w:t>
      </w:r>
    </w:p>
    <w:p/>
    <w:p>
      <w:r>
        <w:rPr>
          <w:b/>
        </w:rPr>
        <w:t>[Pages 1–1]</w:t>
      </w:r>
    </w:p>
    <w:p>
      <w:r>
        <w:t>RESOLUTION</w:t>
        <w:br/>
        <w:t>(File C/0532/13 QUIRÓN HOSPITAL GROUP/TEKNON GROUP)</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 of the Chamber</w:t>
        <w:br/>
        <w:t>Mr. Miguel Sánchez Blanco, Deputy Secretary of the Council</w:t>
        <w:br/>
        <w:t>In Madrid, on November 14, 2013</w:t>
        <w:br/>
        <w:t>Having reviewed the file processed in accordance with Law 15/2007, of July 3, on the Defense of Competition, regarding the economic concentration operation consisting of the exclusive control acquisition of PALACE HEALTHCARE S.L.U., the parent company of the TEKNON GROUP, by the QUIRÓN HOSPITAL GROUP, S.A. (“QUIRÓN”), file C/0532/13 QUIRÓN HOSPITAL GROUP/TEKNON GROUP, and being in agreement with the report and proposal submitted by the Directorate of Competition, the Council of the National Commission on Markets and Competition has resolved, in application of Article 57.2.a) of the aforementioned Law, to authorize the said concentration operation in the first phase.</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