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https://www.cnmc.es/expedientes/c053413</w:t>
      </w:r>
    </w:p>
    <w:p>
      <w:r>
        <w:t>Pages translated : 1</w:t>
      </w:r>
    </w:p>
    <w:p/>
    <w:p>
      <w:r>
        <w:rPr>
          <w:b/>
        </w:rPr>
        <w:t>[Pages 1–1]</w:t>
      </w:r>
    </w:p>
    <w:p>
      <w:r>
        <w:t>RESOLUTION</w:t>
        <w:br/>
        <w:t>(File C/0534/13 IMAGINA/OVERON)</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December 5, 2013</w:t>
        <w:br/>
        <w:t>Having reviewed the file processed in accordance with Law 15/2007, of July 3, on the Defense of Competition, concerning the economic concentration operation consisting of the acquisition by Imagina Media Audiovisual S.L. (IMAGINA) of exclusive control of Servicios Audiovisuales Overon S.L. (OVERON) (file C/0534/13, IMAGINA/OVERON), and in agreement with the report and proposal submitted by the Competition Directorate, the Council of the National Commission of Markets and Competition has resolved, in application of Article 57.2.a) of the aforementioned Law, to authorize the said concentration operation in the first phase, except for the confidentiality agreement included in clause 11.9 of the purchase contract, which, to the extent that it exceeds two years, shall be subject to the applicable regulations on agreements between companies.</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