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https://www.cnmc.es/expedientes/c053513</w:t>
      </w:r>
    </w:p>
    <w:p>
      <w:r>
        <w:t>Pages translated : 1</w:t>
      </w:r>
    </w:p>
    <w:p/>
    <w:p>
      <w:r>
        <w:rPr>
          <w:b/>
        </w:rPr>
        <w:t>[Pages 1–1]</w:t>
      </w:r>
    </w:p>
    <w:p>
      <w:r>
        <w:t>RESOLUTION</w:t>
        <w:br/>
        <w:t>(File No. C/0535/13 APOLLO/ EVO BANCO)</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January 9, 2014</w:t>
        <w:br/>
        <w:t>Having reviewed the file processed in accordance with Law 15/2007, of July 3, on the Defense of Competition, concerning the economic concentration operation consisting of the acquisition of exclusive control of EVO BANCO, S.A. (“EVO BANCO”) by the investment fund APOLLO EUROPEAN PRINCIPAL FINANCE FUND II, L.P. (“APOLLO EPF II”) (File No. C/0535/13 APOLLO/ EVO BANCO), and in agreement with the report and proposal submitted by the Directorate of Competition, the Council of the National Commission on Markets and Competition has resolved, in application of Article 57.2.a) of the aforementioned Law, to authorize the said concentration operation in the first phase, except regarding the transitional service provision contract which shall not be considered an integral part of the concentration operation to the extent that it exceeds five years.</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