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https://www.cnmc.es/expedientes/c053613</w:t>
      </w:r>
    </w:p>
    <w:p>
      <w:r>
        <w:t>Pages translated : 1</w:t>
      </w:r>
    </w:p>
    <w:p/>
    <w:p>
      <w:r>
        <w:rPr>
          <w:b/>
        </w:rPr>
        <w:t>[Pages 1–1]</w:t>
      </w:r>
    </w:p>
    <w:p>
      <w:r>
        <w:t>RESOLUTION</w:t>
        <w:br/>
        <w:t>(File No. C/0536/13 OOC-MAJAN-GRUPO OXEA)</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November 28, 2013</w:t>
        <w:br/>
        <w:t>Having reviewed the file processed in accordance with Law 15/2007, of July 3, on the Defense of Competition, regarding the economic concentration operation consisting of the exclusive control acquisition by OMAN OIL COMPANY S.A.O.C. of OXEA S.A.R.L. except for the Chinese Business (Grupo OXEA) through MAJAN ENERGY B.V., a vehicle created to acquire and hold the capital shares of Grupo OXEA, (file C/0536/13 OOC-MAJAN-GRUPO OXEA), and in agreement with the report and proposal submitted by the Competition Directorate, the Council of the National Commission on Markets and Competition has resolved, in application of Article 57.2.a) of the aforementioned Law, to authorize the said concentration operation in the first phase.</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