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https://www.cnmc.es/expedientes/c053713</w:t>
      </w:r>
    </w:p>
    <w:p>
      <w:r>
        <w:t>Pages translated : 1</w:t>
      </w:r>
    </w:p>
    <w:p/>
    <w:p>
      <w:r>
        <w:rPr>
          <w:b/>
        </w:rPr>
        <w:t>[Pages 1–1]</w:t>
      </w:r>
    </w:p>
    <w:p>
      <w:r>
        <w:t>RESOLUTION</w:t>
        <w:br/>
        <w:t>(File No. C/0537/13 PAMPLONA/INNOVIA)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12, 2013</w:t>
        <w:br/>
        <w:t>Having reviewed the file processed in accordance with Law 15/2007, of July 3, on the Defense of Competition, concerning the economic concentration operation consisting of the exclusive control acquisition by PAMPLONA CAPITAL PARTNERS III LP of INNOVIA GROUP (HOLDING 1) LIMITED, (file C-0537/13 PAMPLONA/INNOVIA), and in agreement with the report and proposal submitted by the Competition Directorate, the Council of the National Commission of Markets and Competition has resolved, in application of Article 57.2.e) of the aforementioned Law, to archive the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