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https://www.cnmc.es/expedientes/c054013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C/0540/13 ICI / D&amp;I CLARIANT)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December 12, 2013</w:t>
        <w:br/>
        <w:t>Having reviewed the file processed in accordance with Law 15/2007, of July 3,</w:t>
        <w:br/>
        <w:t>on the Defense of Competition, concerning the economic concentration operation</w:t>
        <w:br/>
        <w:t>consisting of the exclusive control acquisition by International Chemical</w:t>
        <w:br/>
        <w:t>Investors S.E., of the Detergents and Intermediate Compounds Business of Clariant AG,</w:t>
        <w:br/>
        <w:t>(file C/0540/13 ICI / D&amp;I CLARIANT) and in agreement with the report and the</w:t>
        <w:br/>
        <w:t>proposal submitted by the Competition Directorate, the Council of the National</w:t>
        <w:br/>
        <w:t>Commission of Markets and Competition has resolved, in application of Article 57.2.a)</w:t>
        <w:br/>
        <w:t>of the aforementioned Law, to authorize the said concentration operation in the first phase,</w:t>
        <w:br/>
        <w:t>except for the non-compete clauses and non-solicitation imposed on the buyer which</w:t>
        <w:br/>
        <w:t>will be subject to the regulations on agreements between companies.</w:t>
        <w:br/>
        <w:t>This Resolution shall be communicated to the Competition Directorate of the National</w:t>
        <w:br/>
        <w:t>Commission of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