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https://www.cnmc.es/expedientes/c054113</w:t>
      </w:r>
    </w:p>
    <w:p>
      <w:r>
        <w:t>Pages translated : 1</w:t>
      </w:r>
    </w:p>
    <w:p/>
    <w:p>
      <w:r>
        <w:rPr>
          <w:b/>
        </w:rPr>
        <w:t>[Pages 1–1]</w:t>
      </w:r>
    </w:p>
    <w:p>
      <w:r>
        <w:t>RESOLUTION</w:t>
        <w:br/>
        <w:t>(File C/0541/13 BERGÉ/MMCE)</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19, 2013</w:t>
        <w:br/>
        <w:t>Having reviewed the file processed in accordance with Law 15/2007, of July 3, on the Defense of Competition, concerning the economic concentration operation consisting of the acquisition by Bergé Automoción, S.L. (BERGÉ) of exclusive control of MMC Automóviles España, S.A. (MMCE), through the purchase of 76% of its share capital, (file C/0541/13 BERGÉ/MMCE), and in agreement with the report and proposal submitted by the Competition Directorate, the Council of the National Commission of Markets and Competition has resolved, in application of Article 57.2.a) of the aforementioned Law, to authorize the said concentration operation in the first phase, except for the contract appointing BERGÉ as the wholesale distributor of Mitsubishi motor vehicles in Spain for the portion exceeding five years, which is not considered accessory to the operation nor should it be understood as authorized with it, being, in its case, subject to the applicable regulations on agreements between companies.</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