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https://www.cnmc.es/expedientes/c054213</w:t>
      </w:r>
    </w:p>
    <w:p>
      <w:r>
        <w:t>Pages translated : 1</w:t>
      </w:r>
    </w:p>
    <w:p/>
    <w:p>
      <w:r>
        <w:rPr>
          <w:b/>
        </w:rPr>
        <w:t>[Pages 1–1]</w:t>
      </w:r>
    </w:p>
    <w:p>
      <w:r>
        <w:t>RESOLUTION</w:t>
        <w:br/>
        <w:t>(File No. C-0542/13 DOMTAR/INDAS)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19, 2013</w:t>
        <w:br/>
        <w:t>Having reviewed the file processed in accordance with Law 15/2007, of July 3, on the Defense of Competition, regarding the economic concentration operation consisting of the acquisition of exclusive control by DOMTAR CORPORATION over LABORATORIOS INDAS, S.A.U., (file C-0542/13 DOMTAR/INDAS), and in agreement with the report and proposal submitted by the Competition Directorate, the Council of the National Commission of Markets and Competition has resolved, in application of Article 57.2.a) of the aforementioned Law, to authorize the said concentration operation in the first phase, except with regard to the prohibition contained in the non-competition clause of acquiring "any participation," which is not considered necessary or proportionate for the present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