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https://www.cnmc.es/expedientes/c054613</w:t>
      </w:r>
    </w:p>
    <w:p>
      <w:r>
        <w:t>Pages translated : 1</w:t>
      </w:r>
    </w:p>
    <w:p/>
    <w:p>
      <w:r>
        <w:rPr>
          <w:b/>
        </w:rPr>
        <w:t>[Pages 1–1]</w:t>
      </w:r>
    </w:p>
    <w:p>
      <w:r>
        <w:t>RESOLUTION</w:t>
        <w:br/>
        <w:t>(File No. C/0546/13 CVC/R CABLE)</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January 16, 2014</w:t>
        <w:br/>
        <w:t>Having reviewed the file processed in accordance with Law 15/2007, of July 3, on the Defense of Competition, regarding the economic concentration operation consisting of the acquisition by CVC Capital Partners SICAV-FIS, S.A. (CVC) of exclusive control of R Cable y Comunicaciones de Galicia, S.A. (R CABLE) (file C/0546/13 CVC/R CABLE), and in agreement with the report and proposal submitted by the Competition Directorate, the Council of the National Commission of Markets and Competition in the Competition Chamber has resolved, following a favorable report from the Regulatory Chamber, under the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the contract for electronic communications services between R CABLE and the NovaCaixa Galicia Banco group that exceeds five years, and the […]1 for the […] subsequent years of R CABLE for the provision of these services must be excluded from the authorization.</w:t>
        <w:b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1 The information declared confidential by the National Commission of Markets and Competition is included in brackets.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