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https://www.cnmc.es/expedientes/c054713</w:t>
      </w:r>
    </w:p>
    <w:p>
      <w:r>
        <w:t>Pages translated : 1</w:t>
      </w:r>
    </w:p>
    <w:p/>
    <w:p>
      <w:r>
        <w:rPr>
          <w:b/>
        </w:rPr>
        <w:t>[Pages 1–1]</w:t>
      </w:r>
    </w:p>
    <w:p>
      <w:r>
        <w:t xml:space="preserve">RESOLUTION  </w:t>
        <w:br/>
        <w:t xml:space="preserve">(File C/0547/13 LEAR/ACTIVOS JCI)  </w:t>
        <w:br/>
        <w:t xml:space="preserve">COMPETITION CHAMBER OF THE COUNCIL  </w:t>
        <w:br/>
        <w:t xml:space="preserve">President  </w:t>
        <w:br/>
        <w:t xml:space="preserve">Mr. José María Marín Quemada, President  </w:t>
        <w:br/>
        <w:t xml:space="preserve">Counselors  </w:t>
        <w:br/>
        <w:t xml:space="preserve">Ms. María Ortiz Aguilar  </w:t>
        <w:br/>
        <w:t xml:space="preserve">Mr. Fernando Torremocha y García-Sáenz  </w:t>
        <w:br/>
        <w:t xml:space="preserve">Mr. Benigno Valdés Díaz  </w:t>
        <w:br/>
        <w:t xml:space="preserve">Ms. Idoia Zenarrutzabeitia Beldarraín  </w:t>
        <w:br/>
        <w:t xml:space="preserve">Secretary  </w:t>
        <w:br/>
        <w:t xml:space="preserve">Mr. Tomás Suárez-Inclán González  </w:t>
        <w:br/>
        <w:t xml:space="preserve">In Madrid, on January 16, 2014  </w:t>
        <w:br/>
        <w:t xml:space="preserve">Having reviewed the file processed in accordance with Law 15/2007, of July 3, on the Defense of Competition, concerning the economic concentration operation consisting of the acquisition by LEAR EUROPEAN HOLDING, S.L. (LEAR) of exclusive control of a plant in Almussafes (Valencia) intended for the manufacture of complete seats for Ford automobiles, which is currently owned by JOHNSON CONTROLS AUTOMOTIVE SPAIN, S.A. (JCI) (file C/0547/13 LEAR/ACTIVOS JCI), and being in agreement with the report and proposal submitted by the Directorate of Competition, the Council of the National Commission of Markets and Competition has resolved, in application of Article 57.2.a) of the aforementioned Law, to authorize the said concentration operation.  </w:t>
        <w:b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