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https://www.cnmc.es/expedientes/c054914</w:t>
      </w:r>
    </w:p>
    <w:p>
      <w:r>
        <w:t>Pages translated : 1</w:t>
      </w:r>
    </w:p>
    <w:p/>
    <w:p>
      <w:r>
        <w:rPr>
          <w:b/>
        </w:rPr>
        <w:t>[Pages 1–1]</w:t>
      </w:r>
    </w:p>
    <w:p>
      <w:r>
        <w:t>RESOLUTION</w:t>
        <w:br/>
        <w:t>(File No. C/0549/14, PLENIUM PARTNERS/FCC/FM GREEN POWER INVESTMENTS)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6, 2014</w:t>
        <w:br/>
        <w:t>Having reviewed the file processed in accordance with Law 15/2007, of July 3, on the Defense of Competition, concerning the economic concentration operation consisting of the acquisition by PLENIUM PARTNERS S.L. (PLENIUM), through its subsidiary PLENIUM FMGP S.L., of 51% of the shares of FM GREEN POWER INVESTMENTS, S.L. (FMGPI), owned by FOMENTO DE CONSTRUCCIONES Y CONTRATAS S.A. (FCC), resulting in PLENIUM and FCC having joint control over FMGPI (file C/0549/14, PLENIUM PARTNERS/FCC/FM GREEN POWER INVESTMENTS), and being in agreement with the report and proposal submitted by the Directorate of Competition, the Council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