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https://www.cnmc.es/expedientes/c055014</w:t>
      </w:r>
    </w:p>
    <w:p>
      <w:r>
        <w:t>Pages translated : 10</w:t>
      </w:r>
    </w:p>
    <w:p/>
    <w:p>
      <w:r>
        <w:rPr>
          <w:b/>
        </w:rPr>
        <w:t>[Pages 1–3]</w:t>
      </w:r>
    </w:p>
    <w:p>
      <w:r>
        <w:t xml:space="preserve">RESOLUTION  </w:t>
        <w:br/>
        <w:t xml:space="preserve">Exp. C-0550/14 REPSOL/PETROCAT  </w:t>
        <w:br/>
        <w:t xml:space="preserve">COMPETITION CHAMBER OF THE COUNCIL  </w:t>
        <w:br/>
        <w:t xml:space="preserve">President  </w:t>
        <w:br/>
        <w:t xml:space="preserve">Mr. José María Marín Quemada, President  </w:t>
        <w:br/>
        <w:t xml:space="preserve">Counselors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In Madrid, on April 3, 2014</w:t>
      </w:r>
    </w:p>
    <w:p>
      <w:r>
        <w:t xml:space="preserve">BACKGROUND  </w:t>
        <w:br/>
        <w:t xml:space="preserve">(1) On January 16, 2014, a notification of the economic concentration operation consisting of the exclusive control acquisition by REPSOL COMERCIAL DE PRODUCTOS PETROLÍFEROS, S.A. (REPSOL) over Societat Catalana de Petrolis, S.A. (PETROCAT) through the purchase of the 45% shareholding of PETROCAT currently owned by CEPSA was received by the National Commission of Markets and Competition (hereinafter, CNMC).  </w:t>
        <w:br/>
        <w:t xml:space="preserve">(2) This notification was made by REPSOL in accordance with the provisions of Article 9 of Law 15/2007, of July 3, on the Defense of Competition (hereinafter, LDC), for exceeding the threshold established in letters a) and b) of its Article 8.1. This operation is subject to the provisions of Royal Decree 261/2008, of February 22, which approves the Regulation on the Defense of Competition (RDC).  </w:t>
        <w:br/>
        <w:t xml:space="preserve">(3) The concentration operation is affected by Law 11/2013, of July 26, on measures to support entrepreneurs and stimulate growth and job creation (hereinafter, Law 11/2013) and, in particular, by its fifth transitional provision regarding service stations.  </w:t>
        <w:br/>
        <w:t xml:space="preserve">(4) According to the provisions of Article 55.6 of the LDC, the Competition Directorate (hereinafter DC) of the CNMC requested on January 29, 2014, necessary information from third parties for the resolution of the file. The DC agreed that such market tests would suspend the computation of the deadline for resolving the reference file, in accordance with the provisions of Article 37.1.b) of the LDC.  </w:t>
        <w:br/>
        <w:t xml:space="preserve">(5) On February 3 and 24, 2014, and in accordance with the provisions of Articles 37.2.b) and 55.4 of the LDC, the DC requested information from the notifier, receiving responses to these requests on February 17 and March 7, 2014.  </w:t>
        <w:br/>
        <w:t xml:space="preserve">(6) On February 19, 2014, the DC agreed to lift the suspension of the deadline, in view of the responses received to the information requests of January 29, 2014.  </w:t>
        <w:br/>
        <w:t xml:space="preserve">(7) On February 24, 2014, the Competition Directorate requested from the Energy Directorate of the CNMC a comparative analysis of diesel A prices for the first half of 2013, from a representative sample of REPSOL and PETROCAT service stations in the municipalities where the latter operates. This analysis was received on March 5, 2014.  </w:t>
        <w:br/>
        <w:t xml:space="preserve">(8) On March 6, 2014, a proposal for commitments submitted in the first phase by REPSOL was entered into the CNMC registry in accordance with Articles 59 of the LDC and 69 of the RDC. As provided in Article 59.2 of the LDC, the maximum deadline for resolution is extended by 10 days for the submission of commitments in the first phase.  </w:t>
        <w:br/>
        <w:t xml:space="preserve">(9) On March 7, 2014, the DC agreed to lift the suspension of the deadline, in view of REPSOL's response to the information request of February 24, 2014.  </w:t>
        <w:br/>
        <w:t xml:space="preserve">(10) On March 12, 2014, additional information to the commitments submitted in the first phase by REPSOL was entered into the CNMC registry.  </w:t>
        <w:br/>
        <w:t xml:space="preserve">(11) On March 19, 2014, information requested from the General Directorate of Energy Policy and Mines of the Ministry of Industry, Tourism and Trade (MINETUR) regarding the operations included in the scope of the concentration operation subject to the limitations contemplated in the fifth transitional provision of Law 11/2013 was received. The service stations within the scope of the concentration operation that had been counted in REPSOL's quota corresponding to the list of the Resolution of October 18, 2013, of the General Directorate of Energy Policy and Mines, which determines the annual list of wholesale operators of petroleum products with a share exceeding the percentage established at the provincial level, were also identified.  </w:t>
        <w:br/>
        <w:t xml:space="preserve">(12) On March 20, 2014, the DC requested information from REPSOL regarding certain competitive environments of its stations and the plans proposed to comply with Law 11/2013. This information was sent on March 25, 2014.  </w:t>
        <w:br/>
        <w:t xml:space="preserve">(13) REPSOL provided complementary information on March 11 and 24, 2014, respectively.  </w:t>
        <w:br/>
        <w:t xml:space="preserve">(14) After examining the proposal for commitments, the DC requested the notifier, pursuant to the provisions of Article 69.4 of the RDC, to modify the commitments submitted, as they were collectively insufficient to resolve the obstacles to the maintenance of effective competition arising from the notified concentration operation.  </w:t>
        <w:br/>
        <w:t>(15) On March 31, 2014, the notifier sent a new proposal for commitments submitted in the first phase (hereinafter, "the final commitments").</w:t>
      </w:r>
    </w:p>
    <w:p>
      <w:r>
        <w:t xml:space="preserve">(16) On March 31, 2014, the Competition Directorate submitted a report and Proposal for Resolution to the Council of the CNMC. The DC in Section VII of its report justifies that the notified concentration operation, without the adoption of sufficient remedies, represents the horizontal and vertical reinforcement of REPSOL in a highly concentrated sector led by this same company, characterized by parallel networks of exclusive supply agreements that limit inter-brand and intra-brand competition, and the disappearance of PETROCAT as a competitor of special relevance at the provincial level in Catalonia. Subsequently, in Section IX, it analyzes the final commitments presented on March 31 by the notifier and concludes that they are an adequate, sufficient, and proportionate solution to resolve the obstacles to effective competition arising from the concentration operation. In light of all the above and by virtue of Article 57.1 of Law 15/2007, of July 3, on the Defense of Competition, the Directorate of Investigation proposes to authorize the concentration subject to compliance with the final commitments presented by REPSOL.  </w:t>
        <w:br/>
        <w:t xml:space="preserve">(17) REPSOL is an interested party in this file.  </w:t>
        <w:br/>
        <w:t>(18) After deliberating in its session on April 3, 2014, the Council of the National Commission of Markets and Competition adopted this Resolution.</w:t>
      </w:r>
    </w:p>
    <w:p>
      <w:r>
        <w:t xml:space="preserve">LEGAL GROUNDS  </w:t>
        <w:br/>
        <w:t xml:space="preserve">FIRST.- In accordance with Article 57.2 of the LDC, based on the report and proposal for resolution from the Competition Directorate, the Council of the CNMC will issue a resolution in the first phase, in which it may: a) Authorize the concentration; b) Subordinate the authorization of the concentration to the fulfillment of certain commitments proposed by the notifiers; c) Agree to initiate the second phase of the procedure when it considers that the concentration may hinder the maintenance of effective competition in all or part of the national market; or d) agree to refer the concentration to the European Commission in accordance with Article 22 of Council Regulation (EC) No. 139/2004 of January 20, 2004, on the control of concentrations between companies and the filing of the corresponding notification.  </w:t>
        <w:br/>
        <w:t>SECOND.- In accordance with the provisions of Article 59 of the LDC, the notifier has submitted commitments during the first phase of analysis of the concentration control procedure regulated in the LDC. These commitments are attached to the proposal that the Competition Directorate submits to the Council of the CNMC, form an integral part of it, and their aspects</w:t>
      </w:r>
    </w:p>
    <w:p>
      <w:r>
        <w:rPr>
          <w:b/>
        </w:rPr>
        <w:t>[Pages 4–6]</w:t>
      </w:r>
    </w:p>
    <w:p>
      <w:r>
        <w:t>fundamental are the following:</w:t>
        <w:br/>
        <w:t>"SECTION A. DEFINITIONS</w:t>
        <w:br/>
        <w:t>Product supply: first-sale market of refined products by oil operators with a refinery or through imports.</w:t>
        <w:br/>
        <w:t>DT5 of Law 11/2013: Fifth Transitional Provision of Law 11/2013 - Exclusive contracts of wholesale operators, which specifically establishes that "wholesale operators of petroleum products with a market share exceeding 30 percent, may not increase the number of facilities under ownership or by virtue of any other title that grants them direct or indirect management of the facility, nor enter into new exclusive distribution contracts with retail distributors engaged in the operation of the facility for the supply of fuels and oils to vehicles, regardless of who holds ownership or real rights over it."</w:t>
        <w:br/>
        <w:t>Service stations owned by RCPP or the REPSOL Group managed by PETROCAT in Catalonia: 14 service stations under the commission modality on behalf of others —REPSOL CODO type- (See Annex 1)</w:t>
        <w:br/>
        <w:t>Service stations owned by third parties managed by PETROCAT: 22 service stations managed by PETROCAT [CONFIDENTIAL] —PETROCAT DOCO type- (20 of them in Catalonia, 1 in Cádiz, and 1 in Madrid), with the facilities operated under contracts with third parties. (See Annex 2)</w:t>
        <w:br/>
        <w:t>Service stations owned by PETROCAT and managed by PETROCAT in Catalonia: 2 service stations owned by PETROCAT and managed by PETROCAT itself —PETROCAT COCO type-. (See Annex 3).</w:t>
        <w:br/>
        <w:t>Service stations [CONFIDENTIAL]: 22 service stations owned by third parties managed by PETROCAT (Annex 2) and 2 service stations owned by PETROCAT operated by PETROCAT (Annex 3).</w:t>
        <w:br/>
        <w:t>Effective date of the commitments: the commitments described in this document will come into effect on the date of the adoption of the Resolution by which the Council authorizes the concentration operation by which RCPP acquires exclusive control of PETROCAT.</w:t>
        <w:br/>
        <w:t>Trustee of the pending transactions: one or more natural or legal persons, independent of RCPP and the companies of the REPSOL Group, who, once approved by the CNMC at the proposal of RCPP, will receive the exclusive and irrevocable mandate to carry out the pending transactions during the Additional Period to carry out such transactions.</w:t>
      </w:r>
    </w:p>
    <w:p>
      <w:r>
        <w:t>LDC: Law 15/2007, of July 3, on the Defense of Competition.</w:t>
        <w:br/>
        <w:t>LAW 11/2013: Law 11/2013, of July 26, on measures to support entrepreneurs and to stimulate growth and job creation (BOE-A-2013-8187)-</w:t>
        <w:br/>
        <w:t>MINETUR: Ministry of Industry, Energy and Tourism</w:t>
        <w:br/>
        <w:t>PETROCAT: SOCIETAT CATALANA DE PETROLIS, S.A. tax identification number A-58415779 Avenida Diagonal 605, 08028 Barcelona</w:t>
        <w:br/>
        <w:t>Deadline for pending transactions: [CONFIDENTIAL] from the date on which the Competition Directorate approves the action plan that RCPP will present in accordance with the provisions of the Section of this document.</w:t>
        <w:br/>
        <w:t>Additional deadline for pending transactions: [CONFIDENTIAL] under the conditions provided in section 4 of Section B of the commitments.</w:t>
        <w:br/>
        <w:t>RCPP: REPSOL COMERCIAL DE PRODUCTOS PETROLÍFEROS, S.A with CIF number A-80298839 and registered office at Méndez Alvaro, 44, 28045, Madrid.</w:t>
        <w:br/>
        <w:t>Resolution: the resolution adopted by the Council of the National Commission of Markets and Competition in case C-0550/14, in accordance with Article 58 of the LDC.</w:t>
        <w:br/>
        <w:t>Pending transactions: Operations (exchanges/transfers/closures of RCPP or PETROCAT service stations) that, as a result of REPSOL's acquisition of exclusive control of PETROCAT, will be carried out in relation to the provisions of the Fifth Transitional Provision of Law 11/2013.</w:t>
        <w:br/>
        <w:t>Direct sales: off-network or wholesale distribution of gasoline and diesel.</w:t>
        <w:br/>
        <w:t>SECTION B. COMMITMENT RELATING TO COMPLIANCE WITH DT 5' OF LAW 11/2013</w:t>
        <w:br/>
        <w:t>FIRST.- On the Fifth Transitional Provision of Law 11/2013</w:t>
        <w:br/>
        <w:t>The service stations owned by third parties and managed by PETROCAT listed in Annex 2 (except for the service station in Jerez de la Frontera, Cádiz) and the service stations owned and managed by PETROCAT listed in Annex 3 of this Proposal are located in provinces where RCPP is subject to the prohibition contained in the Fifth Transitional Provision of Law 11/2013. These are 23 service stations, of which 17 are located in the province of Barcelona, 4 in Tarragona, 1 in Lleida, and 1 in Madrid.</w:t>
      </w:r>
    </w:p>
    <w:p>
      <w:r>
        <w:t>By virtue of the foregoing, RCPP will carry out all necessary operations (hereinafter, "the pending transactions") so that there is no increase in the RCPP network by 17 service stations in the province of Barcelona, 4 service stations in the province of Tarragona, 1 service station in the province of Lleida, and 1 service station in the province of Madrid.</w:t>
        <w:br/>
        <w:t>SECOND.- On the suspensive condition of execution of the pending transactions</w:t>
        <w:br/>
        <w:t>RCPP will not execute any of the pending transactions to comply with the provisions of the previous section (Section One of Section B of this proposal of commitments) until the following three conditions are cumulatively met for each of them:</w:t>
        <w:br/>
        <w:t>(1) communicate to the Competition Directorate the planned operation, including the identity of all the service stations, their owners, and their managers affected by the transaction so that it can analyze and, if applicable, authorize it based on competition criteria.</w:t>
        <w:br/>
        <w:t>(2) obtain authorization from the Competition Directorate to carry out the transaction.</w:t>
        <w:br/>
        <w:t>(3) communicate to the MINETUR the specific authorized operation of that service station, that is, (i) its removal as a sales point of PETROCAT or REPSOL and (ii) its registration, if applicable, as a sales point of REPSOL in another province.</w:t>
        <w:br/>
        <w:t>In relation to condition (3) above, RCPP will send to the Competition Directorate a copy of the communications it directs to the MINETUR regarding the removal of each sales point owned by RCPP and/or PETROCAT in the MINETUR database in the provinces of Barcelona, Tarragona, Lleida, and Madrid.</w:t>
        <w:br/>
        <w:t>THIRD.- On the authorization of the pending transactions</w:t>
        <w:br/>
        <w:t>All transactions relating to the 23 service stations will be subject to authorization by the Competition Directorate, prior knowledge of the Competition Chamber of the CNMC.</w:t>
        <w:br/>
        <w:t>For this purpose, the Competition Directorate will analyze for each of the 23 proposed pending transactions the risks and threats that they may pose to the maintenance of effective competition. The Action Plan will establish some of the criteria that objectively allow presuming that a pending transaction does not cause competition problems, without prejudice to the specific analysis that must be carried out on a case-by-case basis for each pending transaction. The Action Plan will also include the authorization procedure including its deadline.</w:t>
        <w:br/>
        <w:t>FOURTH.- On the deadline for the execution of the pending transactions</w:t>
      </w:r>
    </w:p>
    <w:p>
      <w:r>
        <w:rPr>
          <w:b/>
        </w:rPr>
        <w:t>[Pages 7–9]</w:t>
      </w:r>
    </w:p>
    <w:p>
      <w:r>
        <w:t>the plan any modifications it deems appropriate.</w:t>
      </w:r>
    </w:p>
    <w:p>
      <w:r>
        <w:t>THIRD.- The CNMC Council, having reviewed the processed file and analyzed the report submitted to it by the Competition Directorate regarding the notified concentration operation, agrees with the assessment contained in that report concerning the risks to effective competition in the relevant markets affected by the notified operation, as well as with the resolution proposal raised by the Competition Directorate, considering that the set of commitments presented by REPSOL, which must be fulfilled in any case with strict adherence to the fifth transitional provision of Law 11/2013, is sufficient and proportionate to eliminate the possible risks of hindering effective competition arising from the concentration operation under analysis.</w:t>
      </w:r>
    </w:p>
    <w:p>
      <w:r>
        <w:t>FOURTH.- The proper execution of the commitments requires the approval by the CNMC of an Action Plan for the implementation of each and every one of these commitments within the timeframes and conditions set forth in Section F of the agreed commitments.</w:t>
      </w:r>
    </w:p>
    <w:p>
      <w:r>
        <w:t>FIFTH.- In order to ensure the effectiveness of the commitments, the CNMC must oversee their proper execution, in the terms regulated in Article 41.1 of the LDC. In order to monitor compliance with the obligations arising from the commitments proposed by REPSOL contained in this Resolution, the CNMC must ensure that the transfer of assets and/or the management of the affected service stations are adequate to resolve the identified competition problems and that no new competition problems are generated as a result of such transactions. It must also ensure compliance with the commitment of minimum supply from third parties to prevent market closures and mitigate the vertical reinforcement of REPSOL as a result of the operation.</w:t>
      </w:r>
    </w:p>
    <w:p>
      <w:r>
        <w:t>Failure to comply with the provisions of this Resolution will be considered a very serious infringement and may, where appropriate, entail the sanctions provided for in the LDC.</w:t>
      </w:r>
    </w:p>
    <w:p>
      <w:r>
        <w:t>For all of which, having regard to the cited legal provisions and those of general application, the Competition Chamber of the Council of the National Commission on Markets and Competition,</w:t>
      </w:r>
    </w:p>
    <w:p>
      <w:r>
        <w:t>HAS RESOLVED</w:t>
      </w:r>
    </w:p>
    <w:p>
      <w:r>
        <w:t>FIRST.- In application of Article 57.2.b) of Law 15/2007, to subordinate the authorization of the concentration to the fulfillment of the commitments proposed by the notifier as set forth in the Legal Basis Second.</w:t>
      </w:r>
    </w:p>
    <w:p>
      <w:r>
        <w:t>SECOND.- To grant REPSOL a period of twenty (20) days from the date this Resolution has been notified, to present to the CNMC a detailed confidential action plan for the implementation of the commitments contained therein. Within a maximum period of ten (10) days from its receipt, this plan must be approved by the CNMC, which may introduce any modifications it deems appropriate into the plan.</w:t>
      </w:r>
    </w:p>
    <w:p>
      <w:r>
        <w:rPr>
          <w:b/>
        </w:rPr>
        <w:t>[Pages 10–10]</w:t>
      </w:r>
    </w:p>
    <w:p>
      <w:r>
        <w:t>the same the modifications that it deems appropriate for the proper compliance with the commitments of this Agreement.</w:t>
      </w:r>
    </w:p>
    <w:p>
      <w:r>
        <w:t>THIRD.- Subject the compliance with the commitments to the prior authorization of the CNMC in accordance with the provisions set forth in the second Legal Basis. Such compliance shall, in any case, be subject to and understood without prejudice to the fulfillment of the provisions of Law 11/2013, as well as to the authorizations that may be required under the applicable regulations.</w:t>
      </w:r>
    </w:p>
    <w:p>
      <w:r>
        <w:t>FOURTH.- Entrust the Competition Directorate with the monitoring of this Resolution in accordance with the provisions of Article 19 o) of the Organic Statute of the CNMC, approved by Royal Decree 657/2013, of August 30.</w:t>
      </w:r>
    </w:p>
    <w:p>
      <w:r>
        <w:t>FIFTH.- The non-compliance with the provisions of this Resolution is considered a very serious infringement in accordance with Article 62 of the LDC, which may result in the sanctions provided for in the same Law.</w:t>
      </w:r>
    </w:p>
    <w:p>
      <w:r>
        <w:t>Communicate this Resolution to the Competition Directorate of the CNMC and notify the interested party, informing them that an administrative contentious appeal may be filed against this Resolution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