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https://www.cnmc.es/expedientes/c055114</w:t>
      </w:r>
    </w:p>
    <w:p>
      <w:r>
        <w:t>Pages translated : 1</w:t>
      </w:r>
    </w:p>
    <w:p/>
    <w:p>
      <w:r>
        <w:rPr>
          <w:b/>
        </w:rPr>
        <w:t>[Pages 1–1]</w:t>
      </w:r>
    </w:p>
    <w:p>
      <w:r>
        <w:t>RESOLUTION</w:t>
        <w:br/>
        <w:t>(File No. C-0551/14 ONE EQUITY/FMC, ASSETS)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6, 2014</w:t>
        <w:br/>
        <w:t xml:space="preserve">Having reviewed the file processed in accordance with Law 15/2007, of July 3, on the Defense of Competition, concerning the economic concentration operation consisting of the acquisition of exclusive control by ONE EQUITY PARTNERS over the PEROXIDES DIVISION OF FMC CORPORATION (file C/0551/14 ONE EQUITY/FMC, ASSETS), and in agreement with the report and proposal submitted by the Competition Directorate, the Council of the National Commission on Markets and Competition has resolved, in application of Article 57.2.a) of the aforementioned Law, to authorize the said concentration operation. However, the non-competition clause, to the extent that it exceeds three years in duration, shall be subject to the regulations on agreements between companies, in accordance with what is stated in paragraph (6) of the proposal report from the Competition Directorate.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