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https://www.cnmc.es/expedientes/c055214</w:t>
      </w:r>
    </w:p>
    <w:p>
      <w:r>
        <w:t>Pages translated : 1</w:t>
      </w:r>
    </w:p>
    <w:p/>
    <w:p>
      <w:r>
        <w:rPr>
          <w:b/>
        </w:rPr>
        <w:t>[Pages 1–1]</w:t>
      </w:r>
    </w:p>
    <w:p>
      <w:r>
        <w:t>RESOLUTION</w:t>
        <w:br/>
        <w:t>(File C-0552/14 BERKSHIRE HATHAWAY/PHILLIPS SPECIALTY PRODUCTS)</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6, 2014</w:t>
        <w:br/>
        <w:t>Having reviewed the file processed in accordance with Law 15/2007, of July 3, on the Defense of Competition, regarding the economic concentration operation consisting of the acquisition by BERKSHIRE HATHAWAY, INC. (hereinafter BERKSHIRE) of exclusive control over the company PHILLIPS SPECIALTY PRODUCTS, INC. (hereinafter PSPI), a wholly indirectly owned subsidiary of PHILLIPS 66, (file C-0552/14 BERKSHIRE HATHAWAY/PHILLIPS SPECIALTY PRODUCTS), and being in agreement with the report and proposal submitted by the Directorate of Competition, the Council of the National Commission of Markets and Competition has resolved, in application of Article 57.2.a) of the aforementioned Law, to authorize the said concentration operation. However, the non-competition clause to the extent that it exceeds 3 years, shall be subject to the regulations on agreements between companies, in accordance with the provisions in point (17) of the proposal report from the Directorate of Competition.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