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https://www.cnmc.es/expedientes/c055314</w:t>
      </w:r>
    </w:p>
    <w:p>
      <w:r>
        <w:t>Pages translated : 1</w:t>
      </w:r>
    </w:p>
    <w:p/>
    <w:p>
      <w:r>
        <w:rPr>
          <w:b/>
        </w:rPr>
        <w:t>[Pages 1–1]</w:t>
      </w:r>
    </w:p>
    <w:p>
      <w:r>
        <w:t>RESOLUTION</w:t>
        <w:br/>
        <w:t>(File C/0553/14 INVERSIONES SOCICARE-GERIÁTRICOS DEL PRINCIPADO)</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13, 2014</w:t>
        <w:br/>
        <w:t>Having reviewed the file processed in accordance with Law 15/2007, of July 3, on the Defense of Competition, regarding the economic concentration operation consisting of the acquisition by INVERSIONES SOCICARE, S.L. of exclusive control over GERIÁTRICOS DEL PRINCIPADO, S.A., (file C/0553/14 INVERSIONES SOCICARE-GERIÁTRICOS DEL PRINCIPADO), and in agreement with the report and proposal submitted by the Directorate of Competition, the Council of the National Commission of Markets and Competition has resolved, in application of Article 57.2.a) of the aforementioned Law, to authorize the said concentration operation. Nevertheless, (1) the non-compete clause, insofar as it exceeds the geographical scope in which the business subject to acquisition provided services, shall be subject to the regulations on agreements between companies and (2) the non-solicitation clause, insofar as it exceeds the geographical scope in which the business subject to acquisition provided services, shall be subject to the regulations on agreements between companies, and in any case must be excluded as an ancillary restriction regarding Instituto Gerontológico Astur, S.L., and VISAMA.</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