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https://www.cnmc.es/expedientes/c055614</w:t>
      </w:r>
    </w:p>
    <w:p>
      <w:r>
        <w:t>Pages translated : 2</w:t>
      </w:r>
    </w:p>
    <w:p/>
    <w:p>
      <w:r>
        <w:rPr>
          <w:b/>
        </w:rPr>
        <w:t>[Pages 1–2]</w:t>
      </w:r>
    </w:p>
    <w:p>
      <w:r>
        <w:t>RESOLUTION</w:t>
        <w:br/>
        <w:t>(File No. C-0556/14 ESSILOR/POLYCORE)</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6, 2014</w:t>
        <w:br/>
        <w:t>Having reviewed the file processed in accordance with Law 15/2007, of July 3, on the Defense of Competition, regarding the economic concentration operation consisting of the acquisition by ESSILOR INTERNATIONAL (COMPAGNIE GENERALE D’OPTIQUE) S.A. (ESSILOR), through its subsidiary OSA INVESTMENTS HOLDINGS PTE. LTD. (OSA), of 50% of the share capital of POLYCORE OPTICAL (PTE) LTD. (POLYCORE). (File No. C-0556/14 ESSILOR/POLYCORE), and being in agreement with the report and proposal submitted by the Directorate of Competition, the Council of the National Commission on Markets and Competition has resolved, in application of Article 57.2.a) of the aforementioned Law, to authorize the said concentration operation. However, the content of the non-competition agreement, the non-solicitation agreement, and the confidentiality clause by the seller, to the extent that they exceed three years, shall be subject to the regulations on agreements between companies. The confidentiality clause by the buyer, insofar as it constitutes a restriction that would benefit the seller, shall in any case be subject to the regulations on agreements between companies. All of this in accordance with what is stated in paragraphs (24) to (26) of the aforementioned report proposal from the Directorate of Competition.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SECRETARIAT OF THE COUNCIL</w:t>
        <w:br/>
        <w:t>SECRETARIAT OF THE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