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https://www.cnmc.es/expedientes/c055714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No. C/0557/14 SPRINGWATER/GOWAII/PULLMANTUR (Assets))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March 6, 2014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acquisition, by SPRINGWATER CAPITAL LLC and GOWAII</w:t>
        <w:br/>
        <w:t>VACATION HOLDING, S.L., of joint control of certain assets and companies</w:t>
        <w:br/>
        <w:t>linked to the wholesale and retail travel agency businesses and passenger air</w:t>
        <w:br/>
        <w:t>transport of the PULLMANTUR group (File No. C/0557/14</w:t>
        <w:br/>
        <w:t>SPRINGWATER/GOWAII/PULLMANTUR (Assets)), and being in agreement with the</w:t>
        <w:br/>
        <w:t>report and proposal submitted by the Directorate of Competition, the Council of the</w:t>
        <w:br/>
        <w:t>National Commission of Markets and Competition has resolved, in application of Art.</w:t>
        <w:br/>
        <w:t>57.2.a) of the aforementioned Law, to authorize the said concentration operation.</w:t>
        <w:br/>
        <w:t>This Resolution shall be communicated to the Directorate of Competition of the</w:t>
        <w:br/>
        <w:t xml:space="preserve">National Commission of Markets and Competition and notified to the interested party, </w:t>
        <w:br/>
        <w:t>informing them that it concludes the administrative process and that a contentious-administrative appeal may be filed against it before the National Court, 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