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https://www.cnmc.es/expedientes/c055814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RESOLUTION</w:t>
        <w:br/>
        <w:t>(File No. C/0558/14, RENOVA ASSETS LTD/OCTO TELEMATICS S.P.A.)</w:t>
        <w:br/>
        <w:t>COMPETITION CHAMBER OF THE COUNCIL</w:t>
        <w:br/>
        <w:t>President</w:t>
        <w:br/>
        <w:t>Mr. José María Marín Quemada, President</w:t>
        <w:br/>
        <w:t>Counselors</w:t>
        <w:br/>
        <w:t>Ms. María Ortiz Aguilar</w:t>
        <w:br/>
        <w:t>Mr. Fernando Torremocha y García-Sáenz</w:t>
        <w:br/>
        <w:t>Mr. Benigno Valdés Díaz</w:t>
        <w:br/>
        <w:t>Ms. Idoia Zenarrutzabeitia Beldarraín</w:t>
        <w:br/>
        <w:t>Secretary</w:t>
        <w:br/>
        <w:t>Mr. Tomás Suárez-Inclán González</w:t>
        <w:br/>
        <w:t>In Madrid, on March 13, 2014</w:t>
        <w:br/>
        <w:t>Having reviewed the file processed in accordance with Law 15/2007, of July 3,</w:t>
        <w:br/>
        <w:t>on the Defense of Competition, regarding the economic concentration operation</w:t>
        <w:br/>
        <w:t>consisting of the acquisition by RENOVA ASSETS LTD. (RENOVA) of exclusive control</w:t>
        <w:br/>
        <w:t>of OCTO TELEMATICS, S.P.A. (OCTO), (File No. C/0558/14, RENOVA</w:t>
        <w:br/>
        <w:t>ASSETS LTD/OCTO TELEMATICS S.P.A.), and in agreement with the report and the</w:t>
        <w:br/>
        <w:t>proposal submitted by the Competition Directorate, the Council of the National Commission</w:t>
        <w:br/>
        <w:t>of Markets and Competition has resolved, in application of Article 57.2.a)</w:t>
        <w:br/>
        <w:t>of the aforementioned Law, to authorize the said concentration operation in the first phase.</w:t>
        <w:br/>
        <w:t>However, the non-competition agreement and the non-solicitation agreement to the extent</w:t>
        <w:br/>
        <w:t>that they exceed three years in duration, shall be subject to the applicable regulations on</w:t>
        <w:br/>
        <w:t>agreements between companies.</w:t>
        <w:br/>
        <w:t>This Resolution shall be communicated to the Competition Directorate of the</w:t>
        <w:br/>
        <w:t>National Commission of Markets and Competition and notified to the interested party,</w:t>
        <w:br/>
        <w:t>informing them that it concludes the administrative procedure and that a contentious-administrative</w:t>
        <w:br/>
        <w:t>appeal may be filed against it before the National Court, within two months from the day</w:t>
        <w:br/>
        <w:t>following its notification.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