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https://www.cnmc.es/expedientes/c055914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C/0559/14, MITSUBISHI/TCB/TCV)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March 13, 2014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acquisition of joint control of TCV STEVEDORING COMPANY,</w:t>
        <w:br/>
        <w:t>S.A. (“TCV”) by MITSUBISHI CORPORATION (“MITSUBISHI”) and GRUP</w:t>
        <w:br/>
        <w:t>MARITIM TCB, S.L. (“TCB”). Previously, TCV was exclusively controlled by</w:t>
        <w:br/>
        <w:t>TCB, (File No. C/0559/14 MITSUBISHI/TCB/TCV.), and in agreement with the report</w:t>
        <w:br/>
        <w:t>and proposal submitted by the Directorate of Competition, the Council of the National</w:t>
        <w:br/>
        <w:t>Commission of Markets and Competition has resolved, in application of Article 57.2.a)</w:t>
        <w:br/>
        <w:t>of the aforementioned Law, to authorize the said concentration operation in the first phase.</w:t>
        <w:br/>
        <w:t>However, in accordance with what is stated in paragraph (9) of the proposal report from</w:t>
        <w:br/>
        <w:t>the Directorate of Competition, the agreement described in paragraph (6) of the referred</w:t>
        <w:br/>
        <w:t>report and provided for in clause 11.6 of the contract is not necessary for the execution of</w:t>
        <w:br/>
        <w:t>the operation, and therefore cannot be considered an ancillary restriction, remaining in all</w:t>
        <w:br/>
        <w:t>cases subject to the regulations on agreements between companies.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