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https://www.cnmc.es/expedientes/c056014</w:t>
      </w:r>
    </w:p>
    <w:p>
      <w:r>
        <w:t>Pages translated : 1</w:t>
      </w:r>
    </w:p>
    <w:p/>
    <w:p>
      <w:r>
        <w:rPr>
          <w:b/>
        </w:rPr>
        <w:t>[Pages 1–1]</w:t>
      </w:r>
    </w:p>
    <w:p>
      <w:r>
        <w:t>RESOLUTION</w:t>
        <w:br/>
        <w:t>(File C/0560/14 SPRINGWATER/SARENET)</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March 27, 2014</w:t>
        <w:br/>
        <w:t>Having reviewed the file processed in accordance with Law 15/2007, of July 3, on the Defense of Competition, regarding the economic concentration operation consisting of the acquisition by SPRINGWATER CAPITAL LLC of exclusive control over Sarenet, S.A. (File C/0560/14 SPRINGWATER/SARENET), and in agreement with the report and proposal submitted by the Competition Directorate,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