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https://www.cnmc.es/expedientes/c056314</w:t>
      </w:r>
    </w:p>
    <w:p>
      <w:r>
        <w:t>Pages translated : 1</w:t>
      </w:r>
    </w:p>
    <w:p/>
    <w:p>
      <w:r>
        <w:rPr>
          <w:b/>
        </w:rPr>
        <w:t>[Pages 1–1]</w:t>
      </w:r>
    </w:p>
    <w:p>
      <w:r>
        <w:t>RESOLUTION</w:t>
        <w:br/>
        <w:t>(File C/0563/14 KINTYRE / AVAMURA SVENSON)</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April 10, 2014</w:t>
        <w:br/>
        <w:t>Having reviewed the file processed in accordance with Law 15/2007, of July 3, on the Defense of Competition, regarding the economic concentration operation consisting of the joint control acquisition of SVENSON, S.L., by KINTYRE CLO I P.L.C. and AVAMURA ASSOCIATES, S.L., through WORLD COSMETIC, S.A., (File C/0563/14 KINTYRE / AVAMURA SVENSON), and in agreement with the report and proposal submitted by the Competition Directorate, the Council of the National Commission of Markets and Competition has resolved, in application of Article 57.2.a) of the aforementioned Law, to authorize the said concentration operation. However, regarding the non-competition and confidentiality agreements signed by KINTYRE and AVAMURA, they are considered an integral part of the operation insofar as they do not exceed the duration of the joint venture, remaining subject to the regulations on agreements between companies as far as they exceed that duration, in accordance with what is indicated in paragraph (14) of the proposal report. Likewise, concerning the non-competition and confidentiality agreements signed by the minority partners of SVENSON, they are not considered ancillary to the concentration operation and are therefore subject to the regulations on agreements between companies, as provided in paragraph (15) of the proposal report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