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https://www.cnmc.es/expedientes/c056414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C/0564/14 LILLY / LOHMANN)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April 3, 2014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of exclusive control by ELI LILLY AND</w:t>
        <w:br/>
        <w:t>COMPANY over LOHMANN SE., through the purchase of all its shares,</w:t>
        <w:br/>
        <w:t>(File C/0564/14 LILLY / LOHMANN), and in agreement with the report and the</w:t>
        <w:br/>
        <w:t>proposal submitted by the Competition Directorate, the Council of the National</w:t>
        <w:br/>
        <w:t>Commission of Markets and Competition has resolved, in application of Article 57.2.a)</w:t>
        <w:br/>
        <w:t>of the aforementioned Law, to authorize the said concentration operation. However, regarding</w:t>
        <w:br/>
        <w:t>the confidentiality clause, [CONFIDENTIAL], as far as it exceeds 3 years in duration, it is subject to the regulations on agreements between companies, as provided in point (7) of the proposal report from the Competition Directorate.</w:t>
        <w:br/>
        <w:t>This Resolution shall be communicated to the Competition Directorate of the National</w:t>
        <w:br/>
        <w:t>Commission of Markets and Competition and notified to the interested party, informing them</w:t>
        <w:br/>
        <w:t>that it concludes the administrative procedure and that a contentious-administrative appeal may</w:t>
        <w:br/>
        <w:t>be filed against it before the National Court, within two months from the day following its</w:t>
        <w:br/>
        <w:t>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