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https://www.cnmc.es/expedientes/c056614</w:t>
      </w:r>
    </w:p>
    <w:p>
      <w:r>
        <w:t>Pages translated : 1</w:t>
      </w:r>
    </w:p>
    <w:p/>
    <w:p>
      <w:r>
        <w:rPr>
          <w:b/>
        </w:rPr>
        <w:t>[Pages 1–1]</w:t>
      </w:r>
    </w:p>
    <w:p>
      <w:r>
        <w:t>RESOLUTION</w:t>
        <w:br/>
        <w:t>(File No. C/0566/14 CINESA / LA SALERA)</w:t>
        <w:br/>
        <w:t>COMPETITION CHAMBER OF THE COUNCIL</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April 10, 2014</w:t>
        <w:br/>
        <w:t>Having reviewed the file processed in accordance with Law 15/2007, of July 3, on</w:t>
        <w:br/>
        <w:t>the Defense of Competition, regarding the economic concentration operation</w:t>
        <w:br/>
        <w:t>consisting of the acquisition by CINESA-COMPAÑÍA DE INICIATIVAS Y</w:t>
        <w:br/>
        <w:t>ESPECTÁCULOS, S.A. (CINESA) of exclusive control of a multiplex cinema located in the "La Salera" shopping center, in the municipality of Castellón de la Plana, which is currently operated by the company Abacocine, S.L.U. (ÁBACO),</w:t>
        <w:br/>
        <w:t>(File No. C/0566/14 CINESA / LA SALERA), and in agreement with the report and proposal submitted by the Directorate of Competition, the Council of the National Commission of Markets and Competition has resolved, in application of Article 57.2.a) of the aforementioned Law, to authorize the said concentration operation. However, the exclusivity clause, to the extent that it exceeds two years in duration, shall not be considered included in the operation and shall be subject to the regulations on agreements between companies, in accordance with what is indicated in paragraph (15) of the proposal report from the Directorate of Competition. Likewise, the non-competition clause, insofar as it is not related to or intended for the protection of the acquired business, is not considered ancillary to the operation and should, therefore, not be understood as authorized with it, remaining subject to the regulations on agreements between companies, in accordance with the provisions of paragraph (16) of the proposal report.</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