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https://www.cnmc.es/expedientes/c056714</w:t>
      </w:r>
    </w:p>
    <w:p>
      <w:r>
        <w:t>Pages translated : 1</w:t>
      </w:r>
    </w:p>
    <w:p/>
    <w:p>
      <w:r>
        <w:rPr>
          <w:b/>
        </w:rPr>
        <w:t>[Pages 1–1]</w:t>
      </w:r>
    </w:p>
    <w:p>
      <w:r>
        <w:t>RESOLUTION</w:t>
        <w:br/>
        <w:t>(File C/0567/14 BABCOCK / AVINCIS)</w:t>
        <w:br/>
        <w:t>COMPETITION CHAMBER OF THE COUNCIL</w:t>
        <w:br/>
        <w:t>Counselors</w:t>
        <w:br/>
        <w:t>Ms. María Ortiz Aguilar</w:t>
        <w:br/>
        <w:t>Mr. Fernando Torremocha y García-Sáenz</w:t>
        <w:br/>
        <w:t>Mr. Benigno Valdés Díaz</w:t>
        <w:br/>
        <w:t>Ms. Idoia Zenarrutzabeitia Beldarraín</w:t>
        <w:br/>
        <w:t>Secretary</w:t>
        <w:br/>
        <w:t>Mr. Tomás Suárez-Inclán González</w:t>
        <w:br/>
        <w:t>In Madrid, on April 24, 2014</w:t>
        <w:br/>
        <w:t>Having reviewed the file processed in accordance with Law 15/2007, of July 3, on the Defense of Competition, concerning the economic concentration operation consisting of the acquisition by BABCOCK INTERNATIONAL GROUP PLC of exclusive control over AVINCIS MISSION CRITICAL SERVICES TOPCO LTD (file C/0567/14 BABCOCK / AVINCIS), and in agreement with the report and proposal submitted by the Competition Directorate,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