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https://www.cnmc.es/expedientes/c056814</w:t>
      </w:r>
    </w:p>
    <w:p>
      <w:r>
        <w:t>Pages translated : 1</w:t>
      </w:r>
    </w:p>
    <w:p/>
    <w:p>
      <w:r>
        <w:rPr>
          <w:b/>
        </w:rPr>
        <w:t>[Pages 1–1]</w:t>
      </w:r>
    </w:p>
    <w:p>
      <w:r>
        <w:t xml:space="preserve">RESOLUTION  </w:t>
        <w:br/>
        <w:t>(File No. C-0568/14 MAPFRE/BANKIA/ASEVAL/LAIETANA VIDA/LAIETANA GENERALES)</w:t>
      </w:r>
    </w:p>
    <w:p>
      <w:r>
        <w:t>COMPETITION CHAMBER OF THE COUNCIL</w:t>
      </w:r>
    </w:p>
    <w:p>
      <w:r>
        <w:t xml:space="preserve">President  </w:t>
        <w:br/>
        <w:t>Mr. José María Marín Quemada, President</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w:t>
        <w:br/>
        <w:t>Mr. Tomás Suárez-Inclán González</w:t>
      </w:r>
    </w:p>
    <w:p>
      <w:r>
        <w:t>In Madrid, on May 22, 2014</w:t>
      </w:r>
    </w:p>
    <w:p>
      <w:r>
        <w:t>Having reviewed the file processed in accordance with Law 15/2007, of July 3, on the Defense of Competition, regarding the economic concentration operation consisting of the joint control acquisition of ASEGURADORA VALENCIANA, S.A. DE SEGUROS Y REASEGUROS and LAIETANA VIDA COMPAÑÍA DE SEGUROS DE LA CAJA DE AHORROS LAIETANA S.A., by MAPFRE VIDA SOCIEDAD ANONIMA DE SEGUROS Y REASEGUROS SOBRE LA VIDA HUMANA and BANKIA, S.A., as well as the exclusive control acquisition of LAIETANA GENERALES, COMPAÑÍA DE SEGUROS DE LA CAJA DE AHORROS LAIETANA S.A., by MAPFRE FAMILIAR COMPAÑÍA DE SEGUROS Y REASEGUROS, S.A., (File No. C/0568/14 MAPFRE/BANKIA/ASEVAL/LAIETANA VIDA/LAIETANA GENERALES), and being in agreement with the report and proposal submitted by the Directorate of Competition, the Council of the National Commission on Markets and Competition has resolved, in application of Article 57.2.a) of the aforementioned Law, to authorize the cited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