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https://www.cnmc.es/expedientes/c057014</w:t>
      </w:r>
    </w:p>
    <w:p>
      <w:r>
        <w:t>Pages translated : 1</w:t>
      </w:r>
    </w:p>
    <w:p/>
    <w:p>
      <w:r>
        <w:rPr>
          <w:b/>
        </w:rPr>
        <w:t>[Pages 1–1]</w:t>
      </w:r>
    </w:p>
    <w:p>
      <w:r>
        <w:t>RESOLUTION</w:t>
        <w:br/>
        <w:t>(File No. C/0570/14 BARRY WEHMILLER/KÖRBER ASSETS)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May 14, 2014</w:t>
        <w:br/>
        <w:t>Having reviewed the file processed in accordance with Law 15/2007, of July 3, on the Defense of Competition, concerning the economic concentration operation consisting of the acquisition by the BARRY-WEHMILLER GROUP of certain assets of E.C.H. WILL GmbH (E.C.H. WILL), KUGLER-WOMAKO GmbH (KUGLER-WOMAKO), and PEMCO Inc (PEMCO), among which are the companies PAPERSYSTEMS AMERICA LATINA (PAL) and PT PAPERSYSTEMS ASIA (PAS), all ultimately controlled by KÖRBER AG (KÖRBER), (File No. C-0570/14 BARRY WEHMILLER/KÖRBER ASSETS), and being in agreement with the report and proposal submitted by the Directorate of Competition, the Council of the National Commission of Markets and Competition has resolved, in application of Article 57.2.a) of the aforementioned Law, to authorize the said concentration operation. However, regarding the non-compete agreement in the specific territory of the United States, it will be subject to an independent obligation that must be evaluated by the competent authorities in that country in accordance with their regulations. All of this in accordance with what is stated in paragraphs (8) and (12) of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