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https://www.cnmc.es/expedientes/c057414</w:t>
      </w:r>
    </w:p>
    <w:p>
      <w:r>
        <w:t>Pages translated : 1</w:t>
      </w:r>
    </w:p>
    <w:p/>
    <w:p>
      <w:r>
        <w:rPr>
          <w:b/>
        </w:rPr>
        <w:t>[Pages 1–1]</w:t>
      </w:r>
    </w:p>
    <w:p>
      <w:r>
        <w:t>RESOLUTION</w:t>
        <w:br/>
        <w:t>(File No. C-0574/14 SCHREIBER / INDUSTRIAS LACTEAS CANARIAS)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May 22, 2014</w:t>
        <w:br/>
        <w:t>Having reviewed the file processed in accordance with Law 15/2007, of July 3, on the Defense of Competition, concerning the economic concentration operation related to the acquisition by SCHREIBER of the dairy product manufacturing business of ILCANARIAS, currently owned by the Danone Group, (File No. C-0574/14 SCHREIBER / INDUSTRIAS LACTEAS CANARIAS), and being in agreement with the report and proposal submitted by the Directorate of Competition, the Council of the National Commission on Markets and Competition has resolved, in application of Article 57.2.a) of the aforementioned Law, to authorize the said concentration operation. However, the manufacturing contract, to the extent that it exceeds two years in duration, as well as the exclusivity clause in its entirety, will be excluded from the operation and will be subject to the regulations on agreements between companies. Likewise, the Transitional Services Contract is deemed necessary for a period of two years, remaining subject to the regulations on agreements between companies to the extent that it exceeds this period, as provided in point (9) of the proposal report from the Directorate of Competition.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