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https://www.cnmc.es/expedientes/c057514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RESOLUTION</w:t>
        <w:br/>
        <w:t>(File C/0575/14 REI / ADIF ASSETS)</w:t>
        <w:br/>
        <w:t>COMPETITION CHAMBER OF THE COUNCIL</w:t>
        <w:br/>
        <w:t>President</w:t>
        <w:br/>
        <w:t>Mr. José María Marín Quemada, President</w:t>
        <w:br/>
        <w:t>Counselors</w:t>
        <w:br/>
        <w:t>Ms. María Ortiz Aguilar</w:t>
        <w:br/>
        <w:t>Mr. Fernando Torremocha y García-Sáenz</w:t>
        <w:br/>
        <w:t>Mr. Benigno Valdés Díaz</w:t>
        <w:br/>
        <w:t>Ms. Idoia Zenarrutzabeitia Beldarraín</w:t>
        <w:br/>
        <w:t>Secretary</w:t>
        <w:br/>
        <w:t>Mr. Tomás Suárez-Inclán González</w:t>
        <w:br/>
        <w:t>In Madrid, on July 3, 2014</w:t>
        <w:br/>
        <w:t>Having reviewed the file processed in accordance with Law 15/2007, of July 3, on</w:t>
        <w:br/>
        <w:t>the Defense of Competition, regarding the economic concentration operation</w:t>
        <w:br/>
        <w:t>consisting of the acquisition by Red Eléctrica Internacional, S.A.U. (REI) of exclusive</w:t>
        <w:br/>
        <w:t>control over the fiber optic cable network and other associated elements owned by the</w:t>
        <w:br/>
        <w:t>public business entity Administrator of Railway Infrastructures (ADIF) and not dedicated</w:t>
        <w:br/>
        <w:t>to railway service, through the assignment to REI of the rights of use and management</w:t>
        <w:br/>
        <w:t>of the operation for a period of 20 years. (File C/0575/14 REI / ADIF ASSETS), and being</w:t>
        <w:br/>
        <w:t>in agreement with the report and proposal submitted by the Competition Directorate, the</w:t>
        <w:br/>
        <w:t>Council of the National Commission of Markets and Competition has resolved, in</w:t>
        <w:br/>
        <w:t>application of Article 57.2.a) of the aforementioned Law, to authorize the said</w:t>
        <w:br/>
        <w:t>concentration operation.</w:t>
        <w:br/>
        <w:t>This Resolution shall be communicated to the Competition Directorate of the National</w:t>
        <w:br/>
        <w:t>Commission of Markets and Competition and notified to the interested party, informing</w:t>
        <w:br/>
        <w:t>them that it concludes the administrative procedure and that a contentious-administrative</w:t>
        <w:br/>
        <w:t>appeal may be filed against it before the National Court, within two months from the</w:t>
        <w:br/>
        <w:t>day following its notification.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