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https://www.cnmc.es/expedientes/c057614</w:t>
      </w:r>
    </w:p>
    <w:p>
      <w:r>
        <w:t>Pages translated : 1</w:t>
      </w:r>
    </w:p>
    <w:p/>
    <w:p>
      <w:r>
        <w:rPr>
          <w:b/>
        </w:rPr>
        <w:t>[Pages 1–1]</w:t>
      </w:r>
    </w:p>
    <w:p>
      <w:r>
        <w:t>RESOLUTION</w:t>
        <w:br/>
        <w:t>(File No. C-0576/14 OPENGATE/SOLVAY BENVIC)</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May 22, 2014</w:t>
        <w:br/>
        <w:t>Having reviewed the file processed in accordance with Law 15/2007, of July 3, on the Defense of Competition, regarding the economic concentration operation consisting of the acquisition by OPENGATE CAPITAL GROUP EUROPE, S.A.R.L, of 100% of the shares of SOLVAY BENVIC EUROPE IBÉRICA, S.A.U., SOLVAY BENVIC EUROPE FRANCE S.A.S., and SOLVAY BENVIC EUROPE ITALIA S.p.A. from the Solvay Group (File No. C-0576/14 OPENGATE/SOLVAY BENVIC), and being in agreement with the report and proposal submitted by the Directorate of Competition, the Council of the National Commission of Markets and Competition has resolved, in application of Article 57.2.a) of the aforementioned Law, to authorize the said concentration operation. However, the Supply Agreement shall be excluded from the authorization to the extent that it exceeds five years, being, if applicable, subject to the regulations applicable to agreements between companies, as provided in point (19) of the proposal report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