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https://www.cnmc.es/expedientes/c057814</w:t>
      </w:r>
    </w:p>
    <w:p>
      <w:r>
        <w:t>Pages translated : 1</w:t>
      </w:r>
    </w:p>
    <w:p/>
    <w:p>
      <w:r>
        <w:rPr>
          <w:b/>
        </w:rPr>
        <w:t>[Pages 1–1]</w:t>
      </w:r>
    </w:p>
    <w:p>
      <w:r>
        <w:t>RESOLUTION</w:t>
        <w:br/>
        <w:t>(File No. C-0578/14 JV SOVENA / ACOR)</w:t>
        <w:br/>
        <w:t>COMPETITION CHAMBER OF THE COUNCIL</w:t>
        <w:br/>
        <w:t>President</w:t>
        <w:br/>
        <w:t>Mr. José María Marín Quemada, President</w:t>
        <w:br/>
        <w:t>Counselors</w:t>
        <w:br/>
        <w:t>Ms. María Ortiz Aguilar</w:t>
        <w:br/>
        <w:t>Mr. Fernando Torremocha y García-Sáenz</w:t>
        <w:br/>
        <w:t>Mr. Benigno Valdés Díaz</w:t>
        <w:br/>
        <w:t>Ms. Idoia Zenarrutzabeitia Beldarraín</w:t>
        <w:br/>
        <w:t>Secretary</w:t>
        <w:br/>
        <w:t>Mr. Tomás Suárez-Inclán González</w:t>
        <w:br/>
        <w:t>In Madrid, on June 5, 2014</w:t>
        <w:br/>
        <w:t>Having reviewed the file processed in accordance with Law 15/2007, of July 3, on the Defense of Competition, regarding the concentration operation consisting of the creation by SOVENA OILSEEDS ESPAÑA, S.A and by SOCIEDAD COOPERATIVA GENERAL AGROPECUARIA ACOR of the joint venture company with full functions AGROPRODUCCIONES OLEAGINOSAS, S.L. (File No. C-0578/14 JV SOVENA/ ACOR), and in agreement with the report and proposal submitted by the Directorate of Competition, the Council of the National Commission of Markets and Competition has resolved, in application of Article 57.2.a) of the aforementioned Law, to authorize the said concentration operation. However, the indefinite duration regarding confidentiality, as well as any additional project and/or contract directly and/or indirectly related to the Agreement, may be considered ancillary and necessary for the execution of the operation, but the confidentiality regarding the rest of the information, referring to products, business, know-how, etc. will only be considered ancillary and necessary for the execution of the operation for a duration equal to that of the joint venture, as established by the Commission's Communication, being excluded for any period that exceeds said duration. All of this in accordance with what is indicated in paragraph (14) of the aforementioned report proposal from the Directorate of Competition.</w:t>
        <w:b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