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https://www.cnmc.es/expedientes/c057914</w:t>
      </w:r>
    </w:p>
    <w:p>
      <w:r>
        <w:t>Pages translated : 1</w:t>
      </w:r>
    </w:p>
    <w:p/>
    <w:p>
      <w:r>
        <w:rPr>
          <w:b/>
        </w:rPr>
        <w:t>[Pages 1–1]</w:t>
      </w:r>
    </w:p>
    <w:p>
      <w:r>
        <w:t>RESOLUTION</w:t>
        <w:br/>
        <w:t>(File C/0579/14 GLOBALVIA/TRAMVIA METROPOLITA/TRAMVIA METROPOLITÁ DEL BESOS)</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June 18, 2014</w:t>
        <w:br/>
        <w:t>Having reviewed the file processed in accordance with Law 15/2007, of July 3, on the Defense of Competition, concerning the economic concentration operation consisting of the acquisition of exclusive control of TRAMVIA METROPOLITÁ, S.A. and TRAMVIA METROPOLITÁ DEL BESOS, S.A. by GLOBALVIA INVERSIONES, S.A. (File C/0579/14 GLOBALVIA / TRAMVIA METROPOLITA / TRAMVIA METROPOLITÁ DEL BESOS), and being in agreement with the report and proposal submitted by the Directorate of Competition, the Council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