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https://www.cnmc.es/expedientes/c058014</w:t>
      </w:r>
    </w:p>
    <w:p>
      <w:r>
        <w:t>Pages translated : 1</w:t>
      </w:r>
    </w:p>
    <w:p/>
    <w:p>
      <w:r>
        <w:rPr>
          <w:b/>
        </w:rPr>
        <w:t>[Pages 1–1]</w:t>
      </w:r>
    </w:p>
    <w:p>
      <w:r>
        <w:t>RESOLUTION</w:t>
        <w:br/>
        <w:t>(Case C-580/14 KKR/GALLARDO)</w:t>
        <w:br/>
        <w:t>COMPETITION CHAMBER OF THE COUNCIL</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June 18, 2014</w:t>
        <w:br/>
        <w:t>Having reviewed the case processed in accordance with Law 15/2007, of July 3, on the Defense of Competition, concerning the economic concentration operation consisting of the acquisition by KKR of exclusive control over the cement and paper businesses of the ALFONSO GALLARDO GROUP (Case C/0580/14 KKR/GALLARDO), and in agreement with the report and proposal submitted by the Competition Directorate,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