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https://www.cnmc.es/expedientes/c058114</w:t>
      </w:r>
    </w:p>
    <w:p>
      <w:r>
        <w:t>Pages translated : 1</w:t>
      </w:r>
    </w:p>
    <w:p/>
    <w:p>
      <w:r>
        <w:rPr>
          <w:b/>
        </w:rPr>
        <w:t>[Pages 1–1]</w:t>
      </w:r>
    </w:p>
    <w:p>
      <w:r>
        <w:t>RESOLUTION</w:t>
        <w:br/>
        <w:t>(File No. C/0581/14 CENTENE CORPORATION/BANCO DE SABADELL/RIBERASALUD)</w:t>
      </w:r>
    </w:p>
    <w:p>
      <w:r>
        <w:t>COMPETITION CHAMBER OF THE COUNCIL</w:t>
      </w:r>
    </w:p>
    <w:p>
      <w:r>
        <w:t>President</w:t>
        <w:br/>
        <w:t>Mr. José María Marín Quemada, President</w:t>
      </w:r>
    </w:p>
    <w:p>
      <w:r>
        <w:t>Counselors</w:t>
        <w:br/>
        <w:t>Ms. María Ortiz Aguilar</w:t>
        <w:br/>
        <w:t>Mr. Fernando Torremocha y García-Sáenz</w:t>
        <w:br/>
        <w:t>Mr. Benigno Valdés Díaz</w:t>
        <w:br/>
        <w:t>Ms. Idoia Zenarrutzabeitia Beldarraín</w:t>
      </w:r>
    </w:p>
    <w:p>
      <w:r>
        <w:t>Secretary</w:t>
        <w:br/>
        <w:t>Mr. Tomás Suárez-Inclán González</w:t>
      </w:r>
    </w:p>
    <w:p>
      <w:r>
        <w:t>In Madrid, on July 3, 2014</w:t>
      </w:r>
    </w:p>
    <w:p>
      <w:r>
        <w:t>Having reviewed the file processed in accordance with Law 15/2007, of July 3, on the Defense of Competition, concerning the economic concentration operation related to the acquisition of 50% of the capital of RIBERA SALUD, S.A., currently held by BANKIA, S.A., by CENTENE CORPORATION, with said company coming to be jointly controlled by BANCO SABADELL, S.A., and CENTENE. In short, the notified operation implies a change in the control structure of RIBERA SALUD. (File No. C/0581/14 CENTENE CORPORATION/BANCO DE SABADELL/RIBERASALUD), and in agreement with the report and proposal submitted by the Directorate of Competition, the Council of the National Commission of Markets and Competition has resolved, in application of Article 57.2.a) of the aforementioned Law, to authorize the said concentration operation. However, the content, duration, and geographical scope of the non-competition agreement go beyond what is reasonably required by the concentration operation, not being considered an integral part of it in what exceeds the activity and geographical scope in which RIBERA SALUD operates through the companies it controls, and, as for its duration, in what exceeds the duration of the participating company itself, remaining subject to the regulations on agreements between companies. All of this in accordance with what is indicated in paragraph (13) of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