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https://www.cnmc.es/expedientes/c058214</w:t>
      </w:r>
    </w:p>
    <w:p>
      <w:r>
        <w:t>Pages translated : 1</w:t>
      </w:r>
    </w:p>
    <w:p/>
    <w:p>
      <w:r>
        <w:rPr>
          <w:b/>
        </w:rPr>
        <w:t>[Pages 1–1]</w:t>
      </w:r>
    </w:p>
    <w:p>
      <w:r>
        <w:t>RESOLUTION</w:t>
        <w:br/>
        <w:t>(File C/0582/14 IBERCAJA/CAJA BADAJOZ)</w:t>
        <w:br/>
        <w:t>COMPETITION CHAMBER OF THE COUNCIL</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July 31, 2014</w:t>
        <w:br/>
        <w:t>Having reviewed the file processed in accordance with Law 15/2007, of July 3, on the Defense of Competition, concerning the economic concentration operation consisting of the acquisition of exclusive control over CAJA BADAJOZ VIDA Y PENSIONES, SOCIEDAD ANÓNIMA DE SEGUROS, by IBERCAJA BANCO S.A. through BANCO GRUPO CAJATRES S.A., an entity controlled by IBERCAJA, (File C/0582/14, IBERCAJA/CAJA BADAJOZ), and in agreement with the report and proposal submitted by the Directorate of Competition, the Council of the National Commission of Markets and Competition has resolved, in application of Article 57.2.a) of the aforementioned Law, to authorize the said concentration operation.</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