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https://www.cnmc.es/expedientes/c058314</w:t>
      </w:r>
    </w:p>
    <w:p>
      <w:r>
        <w:t>Pages translated : 1</w:t>
      </w:r>
    </w:p>
    <w:p/>
    <w:p>
      <w:r>
        <w:rPr>
          <w:b/>
        </w:rPr>
        <w:t>[Pages 1–1]</w:t>
      </w:r>
    </w:p>
    <w:p>
      <w:r>
        <w:t>RESOLUTION</w:t>
        <w:br/>
        <w:t>(File No. C-0583/14 CEPSA/SIS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July 10, 2014</w:t>
        <w:br/>
        <w:t>Having reviewed the file processed in accordance with Law 15/2007, of July 3, on the Defense of Competition, concerning the economic concentration operation consisting of the acquisition by COMPAÑÍA ESPAÑOLA DE PETRÓLEOS, S.A.U. (CEPSA) of 50% of the share capital held by SHELL ESPAÑA S.A. (SHELL) in SPANISH INTOPLANE SERVICES, S.L. (File No. C-0583/14 CEPSA/SIS), and in agreement with the report and proposal submitted by the Competition Directorate,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