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https://www.cnmc.es/expedientes/c058714</w:t>
      </w:r>
    </w:p>
    <w:p>
      <w:r>
        <w:t>Pages translated : 1</w:t>
      </w:r>
    </w:p>
    <w:p/>
    <w:p>
      <w:r>
        <w:rPr>
          <w:b/>
        </w:rPr>
        <w:t>[Pages 1–1]</w:t>
      </w:r>
    </w:p>
    <w:p>
      <w:r>
        <w:t>RESOLUTION</w:t>
        <w:br/>
        <w:t>(File No. C/0587/14 BANCO POPULAR / CITIBANK – ASSETS-)</w:t>
        <w:br/>
        <w:t>COMPETITION CHAMBER OF THE COUNCIL</w:t>
        <w:br/>
        <w:t>President</w:t>
        <w:br/>
        <w:t>Mr. José María Marín Quemada, President</w:t>
        <w:br/>
        <w:t>Counselors</w:t>
        <w:br/>
        <w:t>Ms. María Ortiz Aguilar</w:t>
        <w:br/>
        <w:t>Mr. Benigno Valdés Díaz</w:t>
        <w:br/>
        <w:t>Secretary</w:t>
        <w:br/>
        <w:t>Mr. Tomás Suárez-Inclán González</w:t>
        <w:br/>
        <w:t>In Madrid, on August 28, 2014</w:t>
        <w:br/>
        <w:t>Having reviewed the file processed in accordance with Law 15/2007, of July 3, on the Defense of Competition, concerning the economic concentration operation consisting of the acquisition of exclusive control over the retail banking, payment cards, and insurance mediation businesses of CITIBANK ESPAÑA, S.A by BANCO POPULAR ESPAÑOL, S.A., and in agreement with the report and proposal submitted by the Competition Directorate, the Council of the National Commission on Markets and Competition has resolved, in application of Article 57.2.a) of the aforementioned Law, to authorize the said concentration operation. However, considering that the geographical scope of the non-compete agreement is not limited to the provinces where the acquired assets are present, exceeding what is reasonably required by the operation, it is not considered accessory to it; said agreement being subject to the regulations on agreements between companies in what exceeds the aforementioned geographical scope.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