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https://www.cnmc.es/expedientes/c058814</w:t>
      </w:r>
    </w:p>
    <w:p>
      <w:r>
        <w:t>Pages translated : 1</w:t>
      </w:r>
    </w:p>
    <w:p/>
    <w:p>
      <w:r>
        <w:rPr>
          <w:b/>
        </w:rPr>
        <w:t>[Pages 1–1]</w:t>
      </w:r>
    </w:p>
    <w:p>
      <w:r>
        <w:t xml:space="preserve">RESOLUTION  </w:t>
        <w:br/>
        <w:t xml:space="preserve">(File C/588/14 Global/Creuers)  </w:t>
        <w:br/>
        <w:t>COMPETITION CHAMBER OF THE COUNCIL</w:t>
      </w:r>
    </w:p>
    <w:p>
      <w:r>
        <w:t xml:space="preserve">President  </w:t>
        <w:br/>
        <w:t>Mr. José María Marín Quemada, President</w:t>
      </w:r>
    </w:p>
    <w:p>
      <w:r>
        <w:t xml:space="preserve">Counselors  </w:t>
        <w:br/>
        <w:t xml:space="preserve">Ms. María Ortiz Aguilar  </w:t>
        <w:br/>
        <w:t>Mr. Benigno Valdés Díaz</w:t>
      </w:r>
    </w:p>
    <w:p>
      <w:r>
        <w:t xml:space="preserve">Secretary  </w:t>
        <w:br/>
        <w:t>Mr. Tomás Suárez-Inclán González</w:t>
      </w:r>
    </w:p>
    <w:p>
      <w:r>
        <w:t>In Madrid, on August 28, 2014</w:t>
      </w:r>
    </w:p>
    <w:p>
      <w:r>
        <w:t>Having reviewed the file processed in accordance with Law 15/2007, of July 3, on the Defense of Competition, concerning the economic concentration operation consisting of the acquisition by Global Liman Isletmeleri, A.S., of exclusive control of Creuers del Port de Barcelona, S.A., and in agreement with the report and proposal submitted by the Competition Directorate, the Council of the National Commission on Markets and Competition has resolved, pursuant to art. 57.2.a) of the aforementioned Law,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