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https://www.cnmc.es/expedientes/c058914</w:t>
      </w:r>
    </w:p>
    <w:p>
      <w:r>
        <w:t>Pages translated : 1</w:t>
      </w:r>
    </w:p>
    <w:p/>
    <w:p>
      <w:r>
        <w:rPr>
          <w:b/>
        </w:rPr>
        <w:t>[Pages 1–1]</w:t>
      </w:r>
    </w:p>
    <w:p>
      <w:r>
        <w:t>RESOLUTION</w:t>
        <w:br/>
        <w:t>(File No. C/0589/14 KEMIRA/AKZO Assets)</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September 4, 2014</w:t>
        <w:br/>
        <w:t>Having reviewed the file processed in accordance with Law 15/2007, of July 3, on the Defense of Competition, concerning the economic concentration operation consisting of the acquisition by KEMIRA OYJ of exclusive control over the paper chemicals business of AKZO NOBEL (File No. C-0589/14 KEMIRA/AKZO Assets), and in agreement with the report and proposal submitted by the Competition Directorate, the Council of the National Commission of Markets and Competition has resolved, in application of Article 57.2.a) of the aforementioned Law, to authorize the said concentration operation. However, it is considered that both the non-competition agreement and the non-solicitation agreement benefiting the buyer may be deemed necessary for the execution of the operation and therefore linked to this operation; however, the non-solicitation clause benefiting the seller is not directly linked to the execution of the operation and, therefore, is subject to the regulations on agreements between companies. All of this in accordance with what is indicated in paragraphs (26) (27) of the aforementioned report proposal from the Competition Directorate.</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