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https://www.cnmc.es/expedientes/c059014</w:t>
      </w:r>
    </w:p>
    <w:p>
      <w:r>
        <w:t>Pages translated : 1</w:t>
      </w:r>
    </w:p>
    <w:p/>
    <w:p>
      <w:r>
        <w:rPr>
          <w:b/>
        </w:rPr>
        <w:t>[Pages 1–1]</w:t>
      </w:r>
    </w:p>
    <w:p>
      <w:r>
        <w:t>RESOLUTION</w:t>
        <w:br/>
        <w:t>(File No. C/0590/14 ATK / ORBITAL)</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August 28, 2014</w:t>
        <w:br/>
        <w:t>Having reviewed the file processed in accordance with Law 15/2007, of July 3, on the Defense of Competition, regarding the economic concentration operation consisting of the acquisition by ALLIANT TECHSYSTEMS INC. (ATK) of the entire share capital of ORBITAL SCIENCES CORPORATION (ORBITAL), (File No. C/0590/14 ATK / ORBITAL), and in agreement with the report and proposal submitted by the Competition Directorate,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