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https://www.cnmc.es/expedientes/c059114</w:t>
      </w:r>
    </w:p>
    <w:p>
      <w:r>
        <w:t>Pages translated : 1</w:t>
      </w:r>
    </w:p>
    <w:p/>
    <w:p>
      <w:r>
        <w:rPr>
          <w:b/>
        </w:rPr>
        <w:t>[Pages 1–1]</w:t>
      </w:r>
    </w:p>
    <w:p>
      <w:r>
        <w:t>RESOLUTION</w:t>
        <w:br/>
        <w:t>(File C/0591/14 IBA MOLECULAR / MOLYPHARMA)</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23, 2014</w:t>
        <w:br/>
        <w:t>Having reviewed the file processed in accordance with Law 15/2007, of July 3, on the Defense of Competition, concerning the economic concentration operation consisting of the acquisition by IBA MOLECULAR SPAIN, S.A.U., of exclusive control over MOLYPHARMA S.A. (File C/0591/14 IBA MOLECULAR / MOLYPHARMA), and in agreement with the report and proposal submitted by the Competition Directorate, the Council of the National Commission of Markets and Competition has resolved, in application of Article 57.2.a) of the aforementioned Law, to authorize the said concentration operation. However, regarding the confidentiality clause, given its indefinite nature, it is considered that the period exceeding three years could go beyond what is reasonable to make the operation possible, thus remaining subject to the regulations on agreements between companies. Likewise, the buyer's obligation of confidentiality, as it would be a restriction benefiting the seller and not the buyer, is not considered ancillary or necessary for the operation, remaining likewise subject to the regulations on agreements between companies. All of this in accordance with what is stated in paragraph (24) of the aforementioned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