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https://www.cnmc.es/expedientes/c059414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RESOLUTION</w:t>
        <w:br/>
        <w:t>(File C/0594/14 EUROMASTER/RODI/JV)</w:t>
        <w:br/>
        <w:t>COMPETITION CHAMBER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September 11, 2014</w:t>
        <w:br/>
        <w:t>Having reviewed the file processed in accordance with Law 15/2007, of July 3, on the</w:t>
        <w:br/>
        <w:t>Defense of Competition, regarding the economic concentration operation</w:t>
        <w:br/>
        <w:t>consisting of the creation of a joint venture between EUROMASTER</w:t>
        <w:br/>
        <w:t>AUTOMOCIÓN Y SERVICIOS, S.A.U. and RODI METRO, S.L. (file C/0594/14</w:t>
        <w:br/>
        <w:t>EUROMASTER/RODI/JV), and in agreement with the report and proposal</w:t>
        <w:br/>
        <w:t>submitted by the Competition Directorate, the Competition Chamber of the Council of the</w:t>
        <w:br/>
        <w:t>National Commission of Markets and Competition has resolved, in application of Article</w:t>
        <w:br/>
        <w:t>57.2 of the aforementioned Law, to authorize the said concentration operation. However,</w:t>
        <w:br/>
        <w:t>the non-compete clause regarding duration will only be considered accessory and necessary</w:t>
        <w:br/>
        <w:t>for the execution of the operation for a duration equal to that of the joint venture, remaining</w:t>
        <w:br/>
        <w:t>subject to the regulations on agreements between companies for any period exceeding said</w:t>
        <w:br/>
        <w:t>duration, in accordance with what is indicated in paragraph (16) of the proposal report from</w:t>
        <w:br/>
        <w:t>the Competition Directorate. Likewise, the aspects covered in paragraph (17) of the proposal</w:t>
        <w:br/>
        <w:t>report, to the extent that precise and sufficient information is not available, it is not possible</w:t>
        <w:br/>
        <w:t>to conclude whether such possible restrictions are necessary for the execution of the</w:t>
        <w:br/>
        <w:t>notified operation, thus remaining subject to the regulations on agreements between</w:t>
        <w:br/>
        <w:t>companies, as indicated in paragraph (19) of the aforementioned proposal report.</w:t>
        <w:br/>
        <w:t>This Resolution shall be communicated to the Competition Directorate of the National</w:t>
        <w:br/>
        <w:t>Commission of Markets and Competition and notified to the interested party, informing</w:t>
        <w:br/>
        <w:t>them that it concludes the administrative procedure and that a contentious-administrative</w:t>
        <w:br/>
        <w:t>appeal may be filed against it before the National Court, within two months from the day</w:t>
        <w:br/>
        <w:t>following its notification.</w:t>
      </w:r>
    </w:p>
    <w:p>
      <w:r>
        <w:t>SECRETARIAT OF THE COUNCIL</w:t>
        <w:br/>
        <w:t>SECRETARIAT OF THE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