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https://www.cnmc.es/expedientes/c059614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C/0596/14 TBC / FRAUENTHAL)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September 25, 2014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by TBC Netherlands Holdings Cooperatief U.A., of</w:t>
        <w:br/>
        <w:t>exclusive control of Frauenthal Automotive Sales GmbH, (File C/0596/14 TBC /</w:t>
        <w:br/>
        <w:t>FRAUENTHAL), and in agreement with the report and proposal submitted by the</w:t>
        <w:br/>
        <w:t>Competition Directorate, the Competition Chamber of the National Commission of</w:t>
        <w:br/>
        <w:t>Markets and Competition has resolved, in application of Article 57.2 of the</w:t>
        <w:br/>
        <w:t>aforementioned Law, to authorize the said concentration operation. However, the</w:t>
        <w:br/>
        <w:t>non-competition agreement is considered ancillary to the concentration operation as it</w:t>
        <w:br/>
        <w:t>affects Spain, in accordance with what is stated in paragraph (19) of the report</w:t>
        <w:br/>
        <w:t>proposal of the Competition Directorate. Furthermore, the non-solicitation agreement</w:t>
        <w:br/>
        <w:t>is only considered ancillary in so far as it limits the possibility of soliciting workers</w:t>
        <w:br/>
        <w:t>from the acquired business, and is not ancillary in what prevents hiring workers from</w:t>
        <w:br/>
        <w:t>the buyer or the seller (excluding the acquired assets), to the extent that this does not</w:t>
        <w:br/>
        <w:t>protect the value of the acquired assets and is not necessary for the execution of the</w:t>
        <w:br/>
        <w:t>operation; therefore, these non-ancillary aspects of the non-solicitation agreement are,</w:t>
        <w:br/>
        <w:t>if applicable, subject to the regulations applicable to agreements between companies,</w:t>
        <w:br/>
        <w:t>in accordance with what is stated in paragraph (20) of the report proposal of the</w:t>
        <w:br/>
        <w:t>Competition Directorate.</w:t>
        <w:br/>
        <w:t>This Resolution shall be communicated to the Competition Directorate of the</w:t>
        <w:br/>
        <w:t>National Commission of Markets and Competition and notified to the interested party,</w:t>
        <w:br/>
        <w:t>informing them that it concludes the administrative procedure and that a contentious</w:t>
        <w:br/>
        <w:t>administrative appeal may be filed against it before the National Court, within two</w:t>
        <w:br/>
        <w:t>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