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https://www.cnmc.es/expedientes/c059714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No. C-0597/14 DIEVINI PATCH/LTS.)</w:t>
        <w:br/>
        <w:t>COMPETITION CHAMBER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October 2, 2014</w:t>
        <w:br/>
        <w:t>Having reviewed the file processed in accordance with Law 15/2007, of July 3,</w:t>
        <w:br/>
        <w:t>on the Defense of Competition, concerning the economic concentration operation</w:t>
        <w:br/>
        <w:t>related to the acquisition by DIEVINI PATCH BETEILIGUNGS GMBH (DIEVINI</w:t>
        <w:br/>
        <w:t>PATCH) of exclusive control over LTS LOHMANN THERAPIE-SYSTEME AG (LTS).</w:t>
        <w:br/>
        <w:t>(File No. C-0597/14 DIEVINI PATCH/LTS.), and in agreement with the report and the</w:t>
        <w:br/>
        <w:t>proposal submitted by the Competition Directorate, the Competition Chamber of the</w:t>
        <w:br/>
        <w:t>National Commission of Markets and Competition has resolved, in application of Article</w:t>
        <w:br/>
        <w:t>57.2.a) of the aforementioned Law, to authorize the said concentration operation.</w:t>
        <w:br/>
        <w:t>This Resolution shall be communicated to the Competition Directorate of the National</w:t>
        <w:br/>
        <w:t>Commission of Markets and Competition and notified to the interested party, informing</w:t>
        <w:br/>
        <w:t>them that it concludes the administrative procedure and that a contentious-administrative</w:t>
        <w:br/>
        <w:t>appeal may be filed against it before the National Court, within two months from the</w:t>
        <w:br/>
        <w:t>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