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https://www.cnmc.es/expedientes/c059814</w:t>
      </w:r>
    </w:p>
    <w:p>
      <w:r>
        <w:t>Pages translated : 1</w:t>
      </w:r>
    </w:p>
    <w:p/>
    <w:p>
      <w:r>
        <w:rPr>
          <w:b/>
        </w:rPr>
        <w:t>[Pages 1–1]</w:t>
      </w:r>
    </w:p>
    <w:p>
      <w:r>
        <w:t>RESOLUTION</w:t>
        <w:br/>
        <w:t>(File No. C-0598/14 CINESA / PARQUE CORREDOR)</w:t>
        <w:br/>
        <w:t>COMPETITION CHAMBER</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October 9, 2014</w:t>
        <w:br/>
        <w:t xml:space="preserve">Having reviewed the file processed in accordance with Law 15/2007, of July 3, on the Defense of Competition, regarding the economic concentration operation consisting of the acquisition by CINESA COMPAÑÍA DE INICIATIVAS Y ESPECTÁCULOS, S.A., of exclusive control of a multiplex cinema located in the "PARQUE CORREDOR" shopping and leisure center, which is currently operated by the company ABACOCINE, S.L.U, (File No. C/0598/14 CINESA / PARQUE CORREDOR), and being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 However, the exclusivity clause in favor of CINESA, to the extent that it exceeds two years in duration, will be subject to the regulations on agreements between companies as provided in point (16) of the proposal report from the Directorate of Competition. </w:t>
        <w:br/>
        <w:t>This Resolution shall be communicated to the Directorate of Competition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