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https://www.cnmc.es/expedientes/c060014</w:t>
      </w:r>
    </w:p>
    <w:p>
      <w:r>
        <w:t>Pages translated : 13</w:t>
      </w:r>
    </w:p>
    <w:p/>
    <w:p>
      <w:r>
        <w:rPr>
          <w:b/>
        </w:rPr>
        <w:t>[Pages 1–3]</w:t>
      </w:r>
    </w:p>
    <w:p>
      <w:r>
        <w:t xml:space="preserve">RESOLUTION  </w:t>
        <w:br/>
        <w:t xml:space="preserve">(Exp. C/0600/14 DIA / GRUPO EL ÁRBOL)  </w:t>
        <w:br/>
        <w:t xml:space="preserve">COMPETITION CHAMBER  </w:t>
        <w:br/>
        <w:t xml:space="preserve">President  </w:t>
        <w:br/>
        <w:t xml:space="preserve">Mr. José María Marín Quemada, President  </w:t>
        <w:br/>
        <w:t xml:space="preserve">Counselors  </w:t>
        <w:br/>
        <w:t xml:space="preserve">Ms. María Ortiz Aguilar  </w:t>
        <w:br/>
        <w:t xml:space="preserve">Mr. Fernando Torremocha y García-Sáenz  </w:t>
        <w:br/>
        <w:t xml:space="preserve">Mr. Benigno Valdés Díaz  </w:t>
        <w:br/>
        <w:t xml:space="preserve">Ms. Aldoia Zenarrutzabeitia Beldarrain  </w:t>
        <w:br/>
        <w:t xml:space="preserve">Secretary  </w:t>
        <w:br/>
        <w:t xml:space="preserve">Mr. Tomás Suárez-Inclán González  </w:t>
        <w:br/>
        <w:t xml:space="preserve">In Barcelona, on October 16, 2014  </w:t>
        <w:br/>
        <w:t>The Council of the National Commission of Markets and Competition, in the Competition Chamber, with the composition expressed in the margin, has issued this Resolution pursuant to Article 57 of Law 15/2007, of July 3, on Competition Defense in the file C/0600/14 DIA / GRUPO EL ÁRBOL, regarding the acquisition of exclusive control over Grupo El Árbol Distribución y Supermercados, S.A. (hereinafter GRUPO EL ÁRBOL) by Distribuidora Internacional de Alimentación, S.A. (hereinafter DIA) through the acquisition of 100% of the share capital of GRUPO EL ÁRBOL.</w:t>
      </w:r>
    </w:p>
    <w:p>
      <w:r>
        <w:t xml:space="preserve">BACKGROUND  </w:t>
        <w:br/>
        <w:t xml:space="preserve">1. On September 23, 2014, notification of the concentration consisting of the acquisition of exclusive control over Grupo El Árbol Distribución y Supermercados, S.A. (hereinafter GRUPO EL ÁRBOL) by Distribuidora Internacional de Alimentación, S.A. (hereinafter DIA) through the acquisition of 100% of the share capital of GRUPO EL ÁRBOL was received by the National Commission of Markets and Competition.  </w:t>
        <w:br/>
        <w:t xml:space="preserve">2. The concentration operation was previously referred to Spain by the European Commission, pursuant to the provisions of Article 4.4 of Regulation 139/2004 of the Council, of January 20, on the control of concentrations between companies, by decision of September 1, 2014, within the framework of file M.7347 DIA/GRUPO EL ÁRBOL.  </w:t>
        <w:br/>
        <w:t xml:space="preserve">3. This notification has been made by DIA in accordance with the provisions of Article 9 of Law 15/2007, of July 3, on Competition Defense, for exceeding the threshold established in letters a) and b) of Article 8.1 of the mentioned regulation. This operation is subject to the provisions of Royal Decree 261/2008, of February 22, which approves the Competition Defense Regulation.  </w:t>
        <w:br/>
        <w:t xml:space="preserve">4. On October 10 and 14, 2014, the notifying party submitted, pursuant to Article 59.2 of Law 15/2007, commitments aimed at resolving obstacles to maintaining effective competition that may arise from the notified concentration operation.  </w:t>
        <w:br/>
        <w:t xml:space="preserve">5. According to the above, the deadline to decide to initiate the second phase of the procedure is November 5, 2014, inclusive. After this date, the notified operation will be considered tacitly authorized.  </w:t>
        <w:br/>
        <w:t>6. After deliberating in its session on October 16, the Council of the National Commission of Markets and Competition, in the Competition Chamber, adopted this Resolution.</w:t>
      </w:r>
    </w:p>
    <w:p>
      <w:r>
        <w:t xml:space="preserve">LEGAL GROUNDS  </w:t>
        <w:br/>
        <w:t xml:space="preserve">First.- In accordance with Article 57.2 of the LDC, based on the report and the Proposal for Resolution from the Competition Directorate, the Council of the CNMC will issue a resolution in the first phase in which it may: a) Authorize the concentration; b) Condition the authorization of the concentration on compliance with certain commitments proposed by the notifiers; c) Decide to initiate the second phase of the procedure when it considers that the concentration may hinder the maintenance of effective competition in all or part of the national market; or d) Decide to refer the concentration to the European Commission in accordance with Article 22 of Council Regulation (EC) No. 139/2004 of January 20, 2004, on the control of concentrations between companies and the filing of the corresponding notification.  </w:t>
        <w:br/>
        <w:t>Second.- In accordance with the provisions of Article 59 of the LDC, the notifier has submitted commitments during the first phase of analysis of the concentration control procedure regulated in the LDC. These commitments are fully revealed in the proposal that the Competition Directorate submits to the Council of the CNMC, and whose fundamental aspects are as follows:</w:t>
      </w:r>
    </w:p>
    <w:p>
      <w:r>
        <w:t xml:space="preserve">SECTION A. DEFINITIONS  </w:t>
        <w:br/>
        <w:t xml:space="preserve">The following terms are defined for use in this document.  </w:t>
        <w:br/>
        <w:t>Divestment Assets: commercial establishments that DIA commits to divest, in accordance with the provisions of Section B and Annex 1 of this document.</w:t>
      </w:r>
    </w:p>
    <w:p>
      <w:r>
        <w:t xml:space="preserve">Binding Assignment Agreement: agreement for the assignment of one or more Divestment Assets.  </w:t>
        <w:br/>
        <w:t xml:space="preserve">Assignment Administrator: one or more natural or legal persons, independent of DIA, who, once approved by the Competition Directorate, will receive from DIA the exclusive and irrevocable mandate to assign the Divestment Assets during the Additional Divestment Period of […].  </w:t>
        <w:br/>
        <w:t xml:space="preserve">Supervisory Administrator: one or more natural or legal persons, independent of DIA, who, once approved by the Competition Directorate, will be appointed by DIA to oversee DIA's compliance with the commitments and other obligations that may be contained in the Resolution.  </w:t>
        <w:br/>
        <w:t xml:space="preserve">Buyer: the entity that the Competition Directorate approves as the buyer of one or more Divestment Assets, in accordance with the criteria established in Section D. The Buyer may acquire one or more of the assets that are part of the Divestment Assets.  </w:t>
        <w:br/>
        <w:t xml:space="preserve">Divestment Commitment: the commitment related to the assignment of the Divestment Assets.  </w:t>
        <w:br/>
        <w:t xml:space="preserve">DIA: Distribuidora Internacional de Alimentación, S.A., with N.I.F number A-28164754 and registered office for notification purposes at Calle Jacinto Benavente, 2A (Edif. TRIPARK), Parque Empresarial de las Rozas, 28232 Las Rozas (Spain).  </w:t>
        <w:br/>
        <w:t xml:space="preserve">Competition Directorate: The Competition Directorate of the National Commission of Markets and Competition.  </w:t>
        <w:br/>
        <w:t xml:space="preserve">El Árbol: Grupo El Árbol Distribución y Supermercados, S.A.  </w:t>
        <w:br/>
        <w:t xml:space="preserve">Effective Date of the Commitments: date of adoption of the Resolution.  </w:t>
        <w:br/>
        <w:t xml:space="preserve">LDC: Law 15/2007, of July 3, on Competition Defense.  </w:t>
        <w:br/>
        <w:t xml:space="preserve">Additional Divestment Period: […] from the end of the Initial Divestment Period.  </w:t>
        <w:br/>
        <w:t xml:space="preserve">Initial Divestment Period: […] from the Effective Date of the Commitments.  </w:t>
        <w:br/>
        <w:t xml:space="preserve">Buyer Requirements: the requirements that the Buyer must meet to be approved by the Competition Directorate.  </w:t>
        <w:br/>
        <w:t>Resolution: Resolution adopted by the Council of the National Commission of Markets and Competition in file C/0600/14, in accordance with Article 57 of the LDC.</w:t>
      </w:r>
    </w:p>
    <w:p>
      <w:r>
        <w:t xml:space="preserve">SECTION B. THE DIVESTMENT ASSETS  </w:t>
        <w:br/>
        <w:t>Divestment Commitment</w:t>
      </w:r>
    </w:p>
    <w:p>
      <w:r>
        <w:rPr>
          <w:b/>
        </w:rPr>
        <w:t>[Pages 4–6]</w:t>
      </w:r>
    </w:p>
    <w:p>
      <w:r>
        <w:t>1. For the purposes of maintaining effective competition, DIA commits to transfer or seek to transfer the Divestment Assets to a Buyer or Buyers, no later than the end of the additional divestment period and under the conditions approved by the Competition Directorate, in accordance with the procedure described in paragraph 11. This commitment is presented in order to avoid delaying the analysis procedure of the operation subject to this file since, as stated in the request for lifting the suspension obligation of the operation, a delay in the adoption of the Resolution or the initiation of a second phase would seriously jeopardize the economic and financial situation of El Árbol and could lead to its liquidation. Certain commercial establishments located in the areas of influence of Benavides, Hervás, Llerena, Lodosa, Monesterio, Peñaranda de Bracamonte, and Talarrubias will be subject to Divestment, where, according to the Competition Directorate's criteria, after the operation analyzed in this file, it cannot be ruled out that obstacles to effective competition may arise. In those cases where several establishments affected by the operation are located in the affected area of influence, one of them will be divested.</w:t>
      </w:r>
    </w:p>
    <w:p>
      <w:r>
        <w:t>2. To carry out the transfer, DIA commits to seek to find, during the initial divestment period, a Buyer and to enter into a binding agreement with them for the transfer of the Divestment Assets. If by the end of the initial divestment period DIA has not entered into such an agreement regarding any or some of the Divestment Assets, DIA will grant the Assignment Administrator an exclusive and irrevocable mandate […] to transfer or seek to transfer said assets in the additional divestment period, in accordance with the procedure described in paragraph 12.</w:t>
      </w:r>
    </w:p>
    <w:p>
      <w:r>
        <w:t>3. DIA will be deemed to have fulfilled the Divestment Commitment if, no later than the end of the additional divestment period, it has entered into a binding transfer agreement regarding the Divestment Assets, without prejudice to the provisions of Section F. Both the Buyer and the terms and the transfer procedure described in paragraph 11 and subsequent must have been previously approved by the Competition Directorate. Additionally, the transfer of the Divestment Assets must occur within a period not exceeding […] from the approval by the Competition Directorate of the Buyer. In the event that the transfer must be subject to prior authorization from the competent authorities in competition defense or any other regulatory authorities, the transfer will occur within a period of […] from the Buyer's obtaining of such authorization.</w:t>
      </w:r>
    </w:p>
    <w:p>
      <w:r>
        <w:t>4. For the purposes of maintaining the structural effect of the Divestment Commitment, DIA commits not to acquire, for a period of […] from the Effective Date, direct or indirect influence over the Divestment Assets, unless the Competition Directorate considers that the market structure has changed in such a way that this commitment is no longer necessary to eliminate the obstacles that may arise from the execution of the Operation.</w:t>
      </w:r>
    </w:p>
    <w:p>
      <w:r>
        <w:t>Structure and Definition of Divestment Assets</w:t>
      </w:r>
    </w:p>
    <w:p>
      <w:r>
        <w:t>5. The Divestment Assets are those linked to the operation of El Árbol commercial establishments located in the municipalities of Benavides, Hervás, Llerena, Lodosa, Monesterio, Peñaranda de Bracamonte, and Talarrubias. The Divestment Assets are identified in Annex 1.</w:t>
      </w:r>
    </w:p>
    <w:p>
      <w:r>
        <w:t>SECTION C. RELATED COMMITMENTS</w:t>
      </w:r>
    </w:p>
    <w:p>
      <w:r>
        <w:t>Maintenance of the viability, marketability, and competitiveness of the Divestment Assets</w:t>
      </w:r>
    </w:p>
    <w:p>
      <w:r>
        <w:t>6. From the Effective Date of the Commitments until the moment of transfer, DIA will maintain the economic viability, marketability, and competitiveness of the Divestment Assets, in accordance with good business practices and will minimize to the extent possible any potential risk that could cause the loss of competitiveness of the Divestment Assets. In particular, DIA commits to:</w:t>
        <w:br/>
        <w:t>a) Not undertake any action that could have a significant material impact on the value or competitiveness of the Divestment Assets or that could alter the nature and purpose of their activity, or the industrial or commercial strategy or investment policy of the Divestment Assets; and</w:t>
        <w:br/>
        <w:t>b) Provide the Divestment Assets with sufficient resources to allow them to be operated in accordance with the ordinary course of their business.</w:t>
      </w:r>
    </w:p>
    <w:p>
      <w:r>
        <w:t>Due Diligence</w:t>
      </w:r>
    </w:p>
    <w:p>
      <w:r>
        <w:t>7. To facilitate all potential buyers in developing a reasonable due diligence process for the Divestment Assets, subject to ordinary confidentiality obligations and depending on the phase of the divestment process, DIA will provide potential buyers with sufficient information regarding the Divestment Assets.</w:t>
      </w:r>
    </w:p>
    <w:p>
      <w:r>
        <w:t>Information Obligations</w:t>
      </w:r>
    </w:p>
    <w:p>
      <w:r>
        <w:t>8. During the initial divestment period, DIA will send to the Competition Directorate and the Supervisory Administrator written monthly reports related to potential buyers of the Divestment Assets, as well as on the progress of negotiations with such potential buyers. The submission of such reports will occur within 10 days following the expiration of each month, starting from the Effective Date of the Commitments (or at any other time, if required by the Competition Directorate).</w:t>
      </w:r>
    </w:p>
    <w:p>
      <w:r>
        <w:t>9. DIA will inform the Competition Directorate and the Supervisory Administrator about the documentation that will be made available to potential buyers, as well as about the due diligence process, and will send them a copy of the corresponding Memorandum before sending it to potential buyers.</w:t>
      </w:r>
    </w:p>
    <w:p>
      <w:r>
        <w:t>SECTION D. THE BUYER</w:t>
      </w:r>
    </w:p>
    <w:p>
      <w:r>
        <w:t>10. In order to ensure the immediate restoration of effective competition, for it to be approved by the Competition Directorate, the Buyer must:</w:t>
        <w:br/>
        <w:t>a) be independent of and have no connection with DIA;</w:t>
        <w:br/>
        <w:t>b) have sufficient financial resources and incentives to operate the Divestment Assets in effective competition with DIA and other market competitors;</w:t>
        <w:br/>
        <w:t>c) not generate risks of obstructing effective competition or risks of delaying the implementation of the Divestment Commitment, particularly meeting the reasonably necessary requirements to obtain the regulatory authorizations required to acquire the Divestment Assets;</w:t>
        <w:br/>
        <w:t>d) comply with the conditions contained in the corresponding lease or sublease contracts related to the Divestment Assets.</w:t>
      </w:r>
    </w:p>
    <w:p>
      <w:r>
        <w:t>The requirements indicated in sections (a) to (d) will be defined as the "Buyer Requirements."</w:t>
      </w:r>
    </w:p>
    <w:p>
      <w:r>
        <w:t>11. The binding offer from the Buyer and the final version of the binding transfer contract will be submitted for approval to the Competition Directorate. Once an agreement has been reached with a Buyer, DIA will send to the Competition Directorate and the Supervisory Administrator a reasoned and documented proposal, which must include a copy of the binding offer and the final version of the agreement in question. DIA must demonstrate to the Competition Directorate that the Buyer meets the Buyer Requirements and that the Divestment Assets are being divested in accordance with the Divestment Commitments. The Competition Directorate will verify that these requirements are met in order to proceed with the approval of the transfer. DIA may submit for the approval of the Competition Directorate a buyer for each of the assets that are part of the Divestment Assets, with each of the buyers being able to acquire one or several assets.</w:t>
      </w:r>
    </w:p>
    <w:p>
      <w:r>
        <w:rPr>
          <w:b/>
        </w:rPr>
        <w:t>[Pages 7–9]</w:t>
      </w:r>
    </w:p>
    <w:p>
      <w:r>
        <w:t>SECTION E. THE SUPERVISORY ADMINISTRATOR AND THE ASSIGNMENT ADMINISTRATOR</w:t>
        <w:br/>
        <w:t>I. Designation Procedure</w:t>
        <w:br/>
        <w:t>12. DIA will appoint, within the deadlines and according to the procedure set forth in paragraphs 15 and following, a Supervisory Administrator, who will perform the functions attributed to this figure in this document. Additionally, if […] before the end of the initial divestment period DIA has not entered into a binding assignment contract regarding any of the Divestment Assets or if the Competition Directorate has rejected a buyer proposed by DIA on that date or thereafter regarding any of those assets, DIA will designate an Assignment Administrator, who will perform the functions attributed to this figure in this document. The appointment of the Assignment Administrator will be effective from the beginning of the additional divestment period of […].</w:t>
      </w:r>
    </w:p>
    <w:p>
      <w:r>
        <w:t>13. The Supervisory Administrator and Assignment Administrator:</w:t>
        <w:br/>
        <w:t>a) will be independent of DIA;</w:t>
        <w:br/>
        <w:t>b) must possess the necessary qualifications to perform their mandate (for example, a bank, investment bank, consultant, auditor, or real estate agent); and</w:t>
        <w:br/>
        <w:t>c) must not be exposed to any conflict of interest.</w:t>
      </w:r>
    </w:p>
    <w:p>
      <w:r>
        <w:t>14. The remuneration of the Supervisory Administrator and Assignment Administrator must be sufficient to ensure the effective and independent fulfillment of their mandate.</w:t>
      </w:r>
    </w:p>
    <w:p>
      <w:r>
        <w:t>Proposals</w:t>
        <w:br/>
        <w:t>15. No later than […] from the notification of the Resolution authorizing the Operation, DIA will submit to the Competition Directorate, for its approval, the list of the person(s) it proposes to appoint as Supervisory Administrator. If applicable, no later than […] before the end of the initial divestment period, DIA will submit to the Competition Directorate, for its approval, the list of the person(s) it proposes to appoint as Assignment Administrator. The proposals must contain sufficient information that allows the Competition Directorate to verify that the proposed Administrators meet the requirements set forth in paragraph 13 and must include the terms of the corresponding mandates, including all necessary issues for the Supervisory Administrator and Assignment Administrator to fulfill their obligations. In the proposal regarding the appointment of the Supervisory Administrator, it must also indicate whether it is anticipated that the proposed person(s) will also act as Assignment Administrator. The proposal regarding the appointment of the Assignment Administrator must also include a proposed action plan, describing how the Assignment Administrator intends to perform their functions.</w:t>
      </w:r>
    </w:p>
    <w:p>
      <w:r>
        <w:t>16. Within a maximum period of […] from the notification of the approval of the appointment of the Supervisory Administrator, DIA will submit to the Competition Directorate a proposed action plan, describing how the Supervisory Administrator intends to perform their functions.</w:t>
      </w:r>
    </w:p>
    <w:p>
      <w:r>
        <w:t>Approval or rejection by the Competition Directorate</w:t>
        <w:br/>
        <w:t>17. The Competition Directorate will have discretion to approve or reject the proposed Administrator(s), as well as the corresponding mandate, which may be modified for the purpose of enabling the Supervisory Administrator and/or Assignment Administrator to fulfill their functions. If only one candidate is approved, DIA will appoint as Supervisory Administrator and/or Assignment Administrator the individual or institution in question, in accordance with the mandate approved by the Competition Directorate. If several candidates are approved, DIA may appoint any of those approved. The Supervisory Administrator and the Assignment Administrator will be appointed within one week from the time the Competition Directorate gives its approval, in accordance with the mandate also approved by it.</w:t>
      </w:r>
    </w:p>
    <w:p>
      <w:r>
        <w:t>New Proposals</w:t>
        <w:br/>
        <w:t>18. If all candidates proposed by DIA are rejected, DIA must submit at least two new candidates within one week from being informed of such rejection, in accordance with the criteria established in paragraphs 12 and 15.</w:t>
      </w:r>
    </w:p>
    <w:p>
      <w:r>
        <w:t>Administrator designated by the Competition Directorate</w:t>
        <w:br/>
        <w:t>19. If all additional proposals for candidates for Administrator are rejected by the Competition Directorate, DIA must appoint as Supervisory Administrator and/or Assignment Administrator the candidate proposed by the Competition Directorate, and in accordance with the mandate it proposes.</w:t>
      </w:r>
    </w:p>
    <w:p>
      <w:r>
        <w:t>II. Functions of the Supervisory Administrator and the Assignment Administrator</w:t>
        <w:br/>
        <w:t>20. The Supervisory Administrator and Assignment Administrator must assume the obligations identified in this document to ensure DIA's compliance with the Commitments. The Competition Directorate may, on its own initiative, or at the request of the Supervisory Administrator and/or the Assignment Administrator, order any matters it deems necessary to ensure compliance with the conditions and obligations included in the Resolution.</w:t>
      </w:r>
    </w:p>
    <w:p>
      <w:r>
        <w:t>Obligations of the Supervisory Administrator</w:t>
        <w:br/>
        <w:t>21. The Supervisory Administrator must:</w:t>
        <w:br/>
        <w:t>(i) propose a detailed action plan to the Competition Directorate, identifying how they intend to perform their monitoring functions regarding compliance with the obligations and conditions included in the Resolution;</w:t>
        <w:br/>
        <w:t>(ii) supervise the maintenance of the economic viability, marketability, and competitiveness of the Divestment Assets, as well as monitor DIA's compliance with the conditions and obligations included in the Resolution, in particular, the maintenance of the ordinary course of business of the Divestment Assets;</w:t>
        <w:br/>
        <w:t>(iii) propose to DIA any measures they consider necessary to ensure compliance by said operator with the commitments and obligations included in the Resolution, in particular, the maintenance of the ordinary course of business of the Divestment Assets;</w:t>
        <w:br/>
        <w:t>(iv) assume the other functions assigned to the Supervisory Administrator in accordance with the conditions and obligations included in the Resolution;</w:t>
        <w:br/>
        <w:t>(v) review and evaluate potential buyers, as well as the divestment process and verify that potential buyers receive sufficient information during the due diligence process;</w:t>
        <w:br/>
        <w:t>(vi) provide the Competition Directorate, within the first fifteen days of each month, a monthly report. The report will refer both to DIA's maintenance of the ordinary course of business of the Divestment Assets, as well as to the progress of the divestment process and potential buyers. It must also inform the Competition Directorate if it concludes that DIA is failing to comply with the Commitments. The Supervisory Administrator will also send DIA a non-confidential copy of the mentioned report; and</w:t>
        <w:br/>
        <w:t>(vii) provide, within one week from the receipt of the proposal mentioned in paragraph 11, to the Competition Directorate a reasoned report on the adequacy and independence of the buyer proposed by DIA, as well as on the viability of the Divestment Assets, and on whether the assignment has occurred under the conditions set forth in the Resolution.</w:t>
      </w:r>
    </w:p>
    <w:p>
      <w:r>
        <w:rPr>
          <w:b/>
        </w:rPr>
        <w:t>[Pages 10–12]</w:t>
      </w:r>
    </w:p>
    <w:p>
      <w:r>
        <w:t>Obligations of the Assignment Administrator</w:t>
        <w:br/>
        <w:t>22. In the additional divestment period, the Assignment Administrator will transfer the Divestment Assets to a buyer, […], provided that both the buyer and the corresponding transfer contract have been approved by the Competition Directorate, in accordance with the procedure described in paragraph 11. The Assignment Administrator will include in the transfer contract the terms and conditions that they deem appropriate to ensure a swift transfer during the additional divestment period. In particular, the Assignment Administrator may include in the transfer contract, before submitting it for approval by the Competition Directorate, the representations and warranties that are reasonably necessary to effectuate the transfer. The Assignment Administrator will protect the legitimate financial interests of DIA, subject to the unconditional obligation to transfer the Divestment Assets to a buyer […].</w:t>
      </w:r>
    </w:p>
    <w:p>
      <w:r>
        <w:t>23. During the additional divestment period, the Assignment Administrator will provide the Competition Directorate monthly (or at any other time if required by the Competition Directorate) with a written report detailing the status of the divestment process. The aforementioned reports must be submitted within the first 15 days of the month following the month to which the report refers, and a non-confidential version of the same must be simultaneously sent to DIA.</w:t>
      </w:r>
    </w:p>
    <w:p>
      <w:r>
        <w:t>III. Obligations of DIA</w:t>
        <w:br/>
        <w:t>24. DIA will provide and require its advisors to provide the Supervisory Administrator and the Assignment Administrator with all cooperation and information reasonably necessary for the Supervisory Administrator and the Assignment Administrator to perform their functions. The Supervisory Administrator and the Assignment Administrator will have full access to all documentation, facilities, and any other information regarding the Divestment Assets that is necessary for the fulfillment of their respective functions. DIA will provide the Supervisory Administrator and the Assignment Administrator with all information they require, also facilitating, if necessary, access to one or more offices in its facilities. DIA representatives will be available to hold meetings with the Supervisory Administrator and the Assignment Administrator, as well as to provide them with the necessary information for the development of their functions.</w:t>
      </w:r>
    </w:p>
    <w:p>
      <w:r>
        <w:t>25. DIA will provide the Supervisory Administrator with all administrative and management support that they may reasonably need. DIA will provide and require its advisors to provide the Supervisory Administrator, upon request, with all information that is sent to potential buyers, particularly facilitating access to the data room documentation and all additional documentation provided to the potential buyer in the due diligence process. DIA will inform the Supervisory Administrator about potential buyers, sending them a list and keeping them informed of the progress of the divestment process.</w:t>
      </w:r>
    </w:p>
    <w:p>
      <w:r>
        <w:t>26. DIA will grant the Assignment Administrator the necessary powers to effectuate the transfer and all other actions that they deem necessary or appropriate to carry out the transfer, including the appointment of necessary advisors in the transfer process.</w:t>
      </w:r>
    </w:p>
    <w:p>
      <w:r>
        <w:t>27. DIA will exempt the Supervisory Administrator and the Assignment Administrator and their employees and agents from any liability to DIA arising from the fulfillment of their functions as Administrator in accordance with this document, unless such liability arises from negligence or bad faith of the Administrator or their employees, agents, or advisors.</w:t>
      </w:r>
    </w:p>
    <w:p>
      <w:r>
        <w:t>28. DIA will bear the costs incurred by the Supervisory Administrator and the Assignment Administrator as a result of the appointment of the advisors they consider necessary to fulfill their obligations, provided that such costs are reasonable and provided that the appointment of such advisors is approved by DIA, which may not deny it without justified reason. If DIA does not approve the advisors proposed by the Supervisory Administrator and/or the Assignment Administrator, they may be approved by the Competition Directorate, after hearing from DIA. Only the Supervisory Administrator and the Assignment Administrator may give instructions to the advisors, to whom the content of the previous paragraph will apply. In the additional divestment period, the Assignment Administrator may use the advisors who advised DIA during the initial divestment period, if deemed appropriate in the interest of the transfer process.</w:t>
      </w:r>
    </w:p>
    <w:p>
      <w:r>
        <w:t>IV. Replacement, Release, and New Appointment of the Administrator</w:t>
        <w:br/>
        <w:t>29. If the Supervisory Administrator and/or the Assignment Administrator fail to fulfill the functions provided in this document or if there is another legitimate reason, including the existence of a conflict of interest:</w:t>
        <w:br/>
        <w:t>a) The Competition Directorate may, after hearing from the Supervisory Administrator and/or the Assignment Administrator, require DIA to replace them; or</w:t>
        <w:br/>
        <w:t>b) DIA may, with the prior approval of the Competition Directorate, replace the Supervisory Administrator and/or the Assignment Administrator.</w:t>
      </w:r>
    </w:p>
    <w:p>
      <w:r>
        <w:t>30. If the Supervisory Administrator or Assignment Administrator is replaced in accordance with the previous paragraph, they may be required to continue performing their functions until they have provided the new Supervisory Administrator or Assignment Administrator with all relevant information for the fulfillment of their obligations. The new Supervisory Administrator or Assignment Administrator will be appointed in accordance with the procedure provided in paragraphs 12 to 19 above.</w:t>
      </w:r>
    </w:p>
    <w:p>
      <w:r>
        <w:t>31. Except for the case provided in paragraph 29, the Supervisory Administrator and the Assignment Administrator will only cease to perform their functions when the Competition Directorate releases them from their obligations, once the fulfillment of the Commitments for which they have been entrusted with oversight or execution has occurred. However, the Competition Directorate may require at any time that the Supervisory Administrator be reappointed if it concludes that the relevant commitments have not been implemented completely and correctly.</w:t>
      </w:r>
    </w:p>
    <w:p>
      <w:r>
        <w:t>SECTION F. REVIEW CLAUSE</w:t>
        <w:br/>
        <w:t>32. In the event that, after the termination of the additional divestment period, any or some of the Divestment Assets have not been able to be transferred to a buyer, the Competition Directorate will choose, upon a reasoned request from DIA accompanied by a report from the Supervisory Administrator, between:</w:t>
        <w:br/>
        <w:t>(i) Granting an extension of the deadlines provided in this document;</w:t>
        <w:br/>
        <w:t>(ii) In exceptional circumstances, granting a waiver, modifying, or replacing one or some of the obligations provided in these Commitments.</w:t>
      </w:r>
    </w:p>
    <w:p>
      <w:r>
        <w:t>33. To request an extension of the deadline, DIA will submit a reasoned request to the Competition Directorate within a maximum period of […] before the expiration of the deadline for which the extension is requested. Only in exceptional circumstances may DIA request an extension during the last month of the same.</w:t>
      </w:r>
    </w:p>
    <w:p>
      <w:r>
        <w:t>SECTION G. ENTRY INTO FORCE</w:t>
        <w:br/>
        <w:t>34. The Commitments will enter into force on the day of notification to DIA of the Resolution.</w:t>
      </w:r>
    </w:p>
    <w:p>
      <w:r>
        <w:t>Third.- The Council, in the Competition Chamber, having reviewed the processed file and analyzed the report submitted to it by the Competition Directorate regarding the operation, in order to maintain effective competition in the mentioned markets and to avoid delaying the processing of the file, agrees with the assessment contained in that report regarding the risks to effective competition in the relevant markets affected by the notified operation, as well as with the resolution proposal submitted by the Competition Directorate, considering that the set of commitments presented by DIA is sufficient and proportionate to eliminate the possible risks of hindering effective competition arising from the concentration operation subject to analysis.</w:t>
      </w:r>
    </w:p>
    <w:p>
      <w:r>
        <w:t>Fourth.- In order to ensure the effectiveness of the commitments, the CNMC</w:t>
      </w:r>
    </w:p>
    <w:p>
      <w:r>
        <w:rPr>
          <w:b/>
        </w:rPr>
        <w:t>[Pages 13–13]</w:t>
      </w:r>
    </w:p>
    <w:p>
      <w:r>
        <w:t>must ensure the proper execution of the same, in the terms regulated in Article 41.1 of the LDC.</w:t>
      </w:r>
    </w:p>
    <w:p>
      <w:r>
        <w:t>Failure to comply with the provisions of this Resolution will be considered a very serious infringement and may, where appropriate, lead to the sanctions provided for in the LDC.</w:t>
      </w:r>
    </w:p>
    <w:p>
      <w:r>
        <w:t>For all of which, having regard to the cited legal provisions and those of general application, the Council of the National Commission of Markets and Competition,</w:t>
      </w:r>
    </w:p>
    <w:p>
      <w:r>
        <w:t>HAS RESOLVED</w:t>
      </w:r>
    </w:p>
    <w:p>
      <w:r>
        <w:t>FIRST.- In application of Article 57.2.b) of Law 15/2007, to subordinate the authorization of the concentration to the fulfillment of the commitments proposed by the notifying party as set forth in the Second Legal Basis.</w:t>
      </w:r>
    </w:p>
    <w:p>
      <w:r>
        <w:t>SECOND.- To entrust the Competition Directorate with the monitoring of this Resolution pursuant to the provisions of Article 19.o) of Royal Decree 657/2013, of August 30, which approves the Organic Statute of the National Commission of Markets and Competition.</w:t>
      </w:r>
    </w:p>
    <w:p>
      <w:r>
        <w:t>THIRD.- The failure to comply with the provisions of this Resolution is considered a very serious infringement in accordance with Article 62 of the LDC, which may lead to the sanctions provided for in Articles 63 and 67 of the same.</w:t>
      </w:r>
    </w:p>
    <w:p>
      <w:r>
        <w:t>This Resolution shall be communicated to the Competition Directorate of the National Commission of Markets and Competition and notified to the interested party, informing them that it concludes the administrative route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